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3B14F" w14:textId="24808757" w:rsidR="00E11D1A" w:rsidRPr="00AB3AF4" w:rsidRDefault="00E11D1A" w:rsidP="00E11D1A">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Pr>
          <w:rFonts w:ascii="Arial" w:hAnsi="Arial" w:cs="Arial"/>
          <w:b/>
          <w:sz w:val="24"/>
        </w:rPr>
        <w:t>2bis</w:t>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6A5726" w:rsidRPr="006A5726">
        <w:rPr>
          <w:rFonts w:ascii="Arial" w:hAnsi="Arial" w:cs="Arial"/>
          <w:b/>
          <w:sz w:val="24"/>
        </w:rPr>
        <w:t>R4-2415526</w:t>
      </w:r>
    </w:p>
    <w:p w14:paraId="3B85D527" w14:textId="77777777" w:rsidR="00E11D1A" w:rsidRDefault="00E11D1A" w:rsidP="00E11D1A">
      <w:pPr>
        <w:tabs>
          <w:tab w:val="left" w:pos="2160"/>
        </w:tabs>
        <w:rPr>
          <w:rFonts w:ascii="Arial" w:hAnsi="Arial" w:cs="Arial"/>
          <w:b/>
          <w:sz w:val="24"/>
        </w:rPr>
      </w:pPr>
      <w:r>
        <w:rPr>
          <w:rFonts w:ascii="Arial" w:hAnsi="Arial" w:cs="Arial"/>
          <w:b/>
          <w:sz w:val="24"/>
        </w:rPr>
        <w:t>Hefei</w:t>
      </w:r>
      <w:r w:rsidRPr="0098250D">
        <w:rPr>
          <w:rFonts w:ascii="Arial" w:hAnsi="Arial" w:cs="Arial"/>
          <w:b/>
          <w:sz w:val="24"/>
        </w:rPr>
        <w:t xml:space="preserve">, </w:t>
      </w:r>
      <w:r>
        <w:rPr>
          <w:rFonts w:ascii="Arial" w:hAnsi="Arial" w:cs="Arial"/>
          <w:b/>
          <w:sz w:val="24"/>
        </w:rPr>
        <w:t>China</w:t>
      </w:r>
      <w:r w:rsidRPr="0098250D">
        <w:rPr>
          <w:rFonts w:ascii="Arial" w:hAnsi="Arial" w:cs="Arial"/>
          <w:b/>
          <w:sz w:val="24"/>
        </w:rPr>
        <w:t xml:space="preserve">, </w:t>
      </w:r>
      <w:r w:rsidRPr="000A7A0F">
        <w:rPr>
          <w:rFonts w:ascii="Arial" w:hAnsi="Arial" w:cs="Arial"/>
          <w:b/>
          <w:sz w:val="24"/>
        </w:rPr>
        <w:t>14th – 18th October 2024</w:t>
      </w:r>
    </w:p>
    <w:p w14:paraId="39A0EE25" w14:textId="77777777" w:rsidR="00D309CC" w:rsidRPr="00056B4F" w:rsidRDefault="00D309CC" w:rsidP="00D309CC">
      <w:pPr>
        <w:tabs>
          <w:tab w:val="left" w:pos="2160"/>
        </w:tabs>
        <w:rPr>
          <w:rFonts w:ascii="Arial" w:hAnsi="Arial" w:cs="Arial"/>
          <w:b/>
        </w:rPr>
      </w:pPr>
    </w:p>
    <w:p w14:paraId="6DDCE159" w14:textId="302E52DA" w:rsidR="00D309CC" w:rsidRPr="00CE7214" w:rsidRDefault="00D309CC" w:rsidP="00D309CC">
      <w:pPr>
        <w:pStyle w:val="CH"/>
        <w:rPr>
          <w:lang w:val="en-US"/>
        </w:rPr>
      </w:pPr>
      <w:r w:rsidRPr="0008103A">
        <w:t>Agenda item:</w:t>
      </w:r>
      <w:r>
        <w:tab/>
      </w:r>
      <w:r w:rsidR="00313FF5" w:rsidRPr="00313FF5">
        <w:t>6.1.1.2.2</w:t>
      </w:r>
    </w:p>
    <w:p w14:paraId="4DBE005A" w14:textId="33A2A3D4" w:rsidR="00D309CC" w:rsidRPr="00F614AC" w:rsidRDefault="00D309CC" w:rsidP="00D309CC">
      <w:pPr>
        <w:pStyle w:val="CH"/>
        <w:rPr>
          <w:b w:val="0"/>
        </w:rPr>
      </w:pPr>
      <w:r w:rsidRPr="00F614AC">
        <w:t>Source:</w:t>
      </w:r>
      <w:r w:rsidRPr="00F614AC">
        <w:tab/>
        <w:t>Apple</w:t>
      </w:r>
    </w:p>
    <w:p w14:paraId="0D2061A1" w14:textId="0E3921CD" w:rsidR="00D309CC" w:rsidRPr="00F614AC" w:rsidRDefault="00D309CC" w:rsidP="00D309CC">
      <w:pPr>
        <w:pStyle w:val="CH"/>
      </w:pPr>
      <w:r w:rsidRPr="00F614AC">
        <w:t>Title:</w:t>
      </w:r>
      <w:r w:rsidRPr="00F614AC">
        <w:tab/>
      </w:r>
      <w:r w:rsidR="00313FF5" w:rsidRPr="00313FF5">
        <w:rPr>
          <w:color w:val="262626"/>
          <w:szCs w:val="24"/>
          <w:lang w:eastAsia="en-GB"/>
        </w:rPr>
        <w:t>On Rel-19 UL CA power domain enhancement for FR1</w:t>
      </w:r>
    </w:p>
    <w:p w14:paraId="052B1E0C" w14:textId="777CED96" w:rsidR="00104BC6" w:rsidRPr="008D25F1" w:rsidRDefault="00104BC6" w:rsidP="00D309CC">
      <w:pPr>
        <w:pStyle w:val="CH"/>
        <w:rPr>
          <w:lang w:val="en-US"/>
        </w:rPr>
      </w:pPr>
      <w:r w:rsidRPr="008D25F1">
        <w:rPr>
          <w:lang w:val="en-US"/>
        </w:rPr>
        <w:t>WI/SI:</w:t>
      </w:r>
      <w:r w:rsidRPr="008D25F1">
        <w:rPr>
          <w:lang w:val="en-US"/>
        </w:rPr>
        <w:tab/>
      </w:r>
      <w:r w:rsidR="009C4AC9" w:rsidRPr="008D25F1">
        <w:rPr>
          <w:lang w:val="en-US"/>
        </w:rPr>
        <w:t>NR_ENDC_RF_Ph4</w:t>
      </w:r>
      <w:r w:rsidR="008D25F1" w:rsidRPr="008D25F1">
        <w:rPr>
          <w:lang w:val="en-US"/>
        </w:rPr>
        <w:t>-Core</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67921B" w14:textId="4BE18759" w:rsidR="008E7986" w:rsidRDefault="008E7986" w:rsidP="008E7986">
      <w:pPr>
        <w:pStyle w:val="Heading1"/>
      </w:pPr>
      <w:r>
        <w:t>2</w:t>
      </w:r>
      <w:r w:rsidR="006212AD">
        <w:t xml:space="preserve"> </w:t>
      </w:r>
      <w:r>
        <w:t xml:space="preserve"> </w:t>
      </w:r>
      <w:r w:rsidR="006212AD">
        <w:t>Discussion</w:t>
      </w:r>
    </w:p>
    <w:p w14:paraId="711FB69D" w14:textId="33379797" w:rsidR="005F1C1B" w:rsidRDefault="005F1C1B" w:rsidP="005F1C1B">
      <w:pPr>
        <w:pStyle w:val="Heading5"/>
      </w:pPr>
      <w:r w:rsidRPr="005F1C1B">
        <w:t>Applicable MPR for intra-band contiguous CA with single activated cell</w:t>
      </w:r>
    </w:p>
    <w:p w14:paraId="536059A4" w14:textId="1FF84333" w:rsidR="000018ED" w:rsidRPr="000018ED" w:rsidRDefault="000018ED" w:rsidP="000018ED">
      <w:r>
        <w:t>The handling of intra-band carrier aggregation with single activated cell remains an open item. RAN4 discussed several solutions in last meeting and decided to evaluate further discuss appropriate solution in following meetings. The WF [2] captures the state and proposals as follows:</w:t>
      </w:r>
    </w:p>
    <w:tbl>
      <w:tblPr>
        <w:tblStyle w:val="TableGrid"/>
        <w:tblW w:w="0" w:type="auto"/>
        <w:tblLook w:val="04A0" w:firstRow="1" w:lastRow="0" w:firstColumn="1" w:lastColumn="0" w:noHBand="0" w:noVBand="1"/>
      </w:tblPr>
      <w:tblGrid>
        <w:gridCol w:w="9631"/>
      </w:tblGrid>
      <w:tr w:rsidR="000018ED" w14:paraId="3A1D6F47" w14:textId="77777777" w:rsidTr="000018ED">
        <w:tc>
          <w:tcPr>
            <w:tcW w:w="9631" w:type="dxa"/>
          </w:tcPr>
          <w:p w14:paraId="14F411CF" w14:textId="77777777" w:rsidR="000018ED" w:rsidRPr="00297C16" w:rsidRDefault="000018ED" w:rsidP="000018ED">
            <w:pPr>
              <w:pStyle w:val="Heading4"/>
              <w:spacing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lastRenderedPageBreak/>
              <w:t xml:space="preserve">Issue 2-1-1: </w:t>
            </w:r>
            <w:r w:rsidRPr="00297C16">
              <w:rPr>
                <w:rFonts w:ascii="Times New Roman" w:hAnsi="Times New Roman"/>
                <w:b/>
                <w:color w:val="000000" w:themeColor="text1"/>
                <w:sz w:val="20"/>
                <w:u w:val="single"/>
                <w:lang w:val="en-US"/>
              </w:rPr>
              <w:t>Applicable MPR for intra-band contiguous CA with single activated cell</w:t>
            </w:r>
          </w:p>
          <w:p w14:paraId="725BEC7E" w14:textId="77777777" w:rsidR="000018ED" w:rsidRPr="00297C16" w:rsidRDefault="000018ED" w:rsidP="000018ED">
            <w:pPr>
              <w:pStyle w:val="ListParagraph"/>
              <w:numPr>
                <w:ilvl w:val="0"/>
                <w:numId w:val="17"/>
              </w:numPr>
              <w:spacing w:after="120"/>
              <w:ind w:left="720"/>
              <w:contextualSpacing w:val="0"/>
              <w:rPr>
                <w:color w:val="000000" w:themeColor="text1"/>
                <w:szCs w:val="24"/>
                <w:lang w:eastAsia="zh-CN"/>
              </w:rPr>
            </w:pPr>
            <w:r w:rsidRPr="00297C16">
              <w:rPr>
                <w:rFonts w:eastAsia="SimSun"/>
                <w:color w:val="000000" w:themeColor="text1"/>
                <w:szCs w:val="24"/>
                <w:lang w:eastAsia="zh-CN"/>
              </w:rPr>
              <w:t xml:space="preserve">Proposals </w:t>
            </w:r>
          </w:p>
          <w:p w14:paraId="4B8C83C0" w14:textId="77777777" w:rsidR="000018ED" w:rsidRPr="00297C16" w:rsidRDefault="000018ED" w:rsidP="000018ED">
            <w:pPr>
              <w:pStyle w:val="ListParagraph"/>
              <w:numPr>
                <w:ilvl w:val="1"/>
                <w:numId w:val="17"/>
              </w:numPr>
              <w:spacing w:after="120"/>
              <w:ind w:left="1440"/>
              <w:contextualSpacing w:val="0"/>
              <w:jc w:val="both"/>
              <w:rPr>
                <w:rFonts w:eastAsia="SimSun"/>
                <w:color w:val="000000" w:themeColor="text1"/>
                <w:szCs w:val="24"/>
                <w:lang w:eastAsia="zh-CN"/>
              </w:rPr>
            </w:pPr>
            <w:r w:rsidRPr="00297C16">
              <w:rPr>
                <w:rFonts w:eastAsia="SimSun"/>
                <w:color w:val="000000" w:themeColor="text1"/>
                <w:szCs w:val="24"/>
                <w:lang w:eastAsia="zh-CN"/>
              </w:rPr>
              <w:t>Proposal 1:</w:t>
            </w:r>
            <w:r w:rsidRPr="00297C16">
              <w:rPr>
                <w:color w:val="000000" w:themeColor="text1"/>
              </w:rPr>
              <w:t xml:space="preserve"> For PC3/PC2 intra-band contiguous carrier aggregation with single CC with activated cell, the single CC MPR requirements can apply. (Samsung)</w:t>
            </w:r>
          </w:p>
          <w:p w14:paraId="68A73ED4" w14:textId="77777777" w:rsidR="000018ED" w:rsidRPr="00297C16" w:rsidRDefault="000018ED" w:rsidP="000018ED">
            <w:pPr>
              <w:pStyle w:val="ListParagraph"/>
              <w:numPr>
                <w:ilvl w:val="1"/>
                <w:numId w:val="17"/>
              </w:numPr>
              <w:spacing w:after="120"/>
              <w:ind w:left="1440"/>
              <w:contextualSpacing w:val="0"/>
              <w:jc w:val="both"/>
              <w:rPr>
                <w:rFonts w:eastAsia="SimSun"/>
                <w:color w:val="000000" w:themeColor="text1"/>
                <w:szCs w:val="24"/>
                <w:lang w:eastAsia="zh-CN"/>
              </w:rPr>
            </w:pPr>
            <w:r w:rsidRPr="00297C16">
              <w:rPr>
                <w:rFonts w:eastAsia="SimSun"/>
                <w:color w:val="000000" w:themeColor="text1"/>
                <w:szCs w:val="24"/>
                <w:lang w:eastAsia="zh-CN"/>
              </w:rPr>
              <w:t>Proposal 2: For PC3/PC2 intra-band contiguous carrier aggregation with single CC with activated cell, the following MPR requirements are applied (Samsung, CATT,, Nokia, Huawei, LGE)</w:t>
            </w:r>
          </w:p>
          <w:p w14:paraId="7322424C" w14:textId="77777777" w:rsidR="000018ED" w:rsidRPr="00297C16" w:rsidRDefault="000018ED" w:rsidP="000018ED">
            <w:pPr>
              <w:pStyle w:val="ListParagraph"/>
              <w:numPr>
                <w:ilvl w:val="2"/>
                <w:numId w:val="17"/>
              </w:numPr>
              <w:spacing w:after="120"/>
              <w:ind w:left="2376"/>
              <w:contextualSpacing w:val="0"/>
              <w:jc w:val="both"/>
              <w:rPr>
                <w:rFonts w:eastAsia="SimSun"/>
                <w:color w:val="000000" w:themeColor="text1"/>
                <w:szCs w:val="24"/>
                <w:lang w:eastAsia="zh-CN"/>
              </w:rPr>
            </w:pPr>
            <w:r w:rsidRPr="00297C16">
              <w:rPr>
                <w:rFonts w:eastAsia="SimSun"/>
                <w:color w:val="000000" w:themeColor="text1"/>
                <w:szCs w:val="24"/>
                <w:lang w:eastAsia="zh-CN"/>
              </w:rPr>
              <w:t>MPR defined in Table 6.2.2-1 applies for UE power class 3 CA bandwidth classes B and C;</w:t>
            </w:r>
          </w:p>
          <w:p w14:paraId="04566469" w14:textId="77777777" w:rsidR="000018ED" w:rsidRPr="00297C16" w:rsidRDefault="000018ED" w:rsidP="000018ED">
            <w:pPr>
              <w:pStyle w:val="ListParagraph"/>
              <w:numPr>
                <w:ilvl w:val="2"/>
                <w:numId w:val="17"/>
              </w:numPr>
              <w:spacing w:after="120"/>
              <w:ind w:left="2376"/>
              <w:contextualSpacing w:val="0"/>
              <w:jc w:val="both"/>
              <w:rPr>
                <w:rFonts w:eastAsia="SimSun"/>
                <w:color w:val="000000" w:themeColor="text1"/>
                <w:szCs w:val="24"/>
                <w:lang w:eastAsia="zh-CN"/>
              </w:rPr>
            </w:pPr>
            <w:r w:rsidRPr="00297C16">
              <w:rPr>
                <w:rFonts w:eastAsia="SimSun"/>
                <w:color w:val="000000" w:themeColor="text1"/>
                <w:szCs w:val="24"/>
                <w:lang w:eastAsia="zh-CN"/>
              </w:rPr>
              <w:t>MPR defined in Table 6.2D.2-1 applies for power class 2 CA bandwidth classes B and C when TxD capability is indicated;</w:t>
            </w:r>
          </w:p>
          <w:p w14:paraId="0156BAEF" w14:textId="77777777" w:rsidR="000018ED" w:rsidRPr="00297C16" w:rsidRDefault="000018ED" w:rsidP="000018ED">
            <w:pPr>
              <w:pStyle w:val="ListParagraph"/>
              <w:numPr>
                <w:ilvl w:val="2"/>
                <w:numId w:val="17"/>
              </w:numPr>
              <w:spacing w:after="120"/>
              <w:ind w:left="2376"/>
              <w:contextualSpacing w:val="0"/>
              <w:jc w:val="both"/>
              <w:rPr>
                <w:rFonts w:eastAsia="SimSun"/>
                <w:color w:val="000000" w:themeColor="text1"/>
                <w:szCs w:val="24"/>
                <w:lang w:eastAsia="zh-CN"/>
              </w:rPr>
            </w:pPr>
            <w:r w:rsidRPr="00297C16">
              <w:rPr>
                <w:rFonts w:eastAsia="SimSun"/>
                <w:color w:val="000000" w:themeColor="text1"/>
                <w:szCs w:val="24"/>
                <w:lang w:eastAsia="zh-CN"/>
              </w:rPr>
              <w:t>MPR defined in Table 6.2.2-2 applies for power class 2 CA bandwidth classes B and C when TxD capability is absent.</w:t>
            </w:r>
          </w:p>
          <w:p w14:paraId="774E0B6F" w14:textId="77777777" w:rsidR="000018ED" w:rsidRPr="00297C16" w:rsidRDefault="000018ED" w:rsidP="000018ED">
            <w:pPr>
              <w:pStyle w:val="ListParagraph"/>
              <w:numPr>
                <w:ilvl w:val="0"/>
                <w:numId w:val="19"/>
              </w:numPr>
              <w:overflowPunct w:val="0"/>
              <w:autoSpaceDE w:val="0"/>
              <w:autoSpaceDN w:val="0"/>
              <w:adjustRightInd w:val="0"/>
              <w:spacing w:after="120"/>
              <w:contextualSpacing w:val="0"/>
              <w:textAlignment w:val="baseline"/>
              <w:rPr>
                <w:rFonts w:eastAsia="Yu Mincho"/>
                <w:color w:val="000000" w:themeColor="text1"/>
              </w:rPr>
            </w:pPr>
            <w:r w:rsidRPr="00297C16">
              <w:rPr>
                <w:rFonts w:eastAsia="SimSun"/>
                <w:color w:val="000000" w:themeColor="text1"/>
                <w:szCs w:val="24"/>
                <w:lang w:eastAsia="zh-CN"/>
              </w:rPr>
              <w:t xml:space="preserve">Proposal 3: </w:t>
            </w:r>
            <w:r w:rsidRPr="00297C16">
              <w:rPr>
                <w:color w:val="000000" w:themeColor="text1"/>
                <w:szCs w:val="24"/>
                <w:lang w:eastAsia="zh-CN"/>
              </w:rPr>
              <w:t>For PC3 and PC2 contiguous UL CA use the corresponding single CC MPR when only 1 CC is activated and refer to the following MPR tables and corresponding configured Tx power requirements (Qualcomm).</w:t>
            </w:r>
          </w:p>
          <w:p w14:paraId="08198C67" w14:textId="77777777" w:rsidR="000018ED" w:rsidRPr="00297C16" w:rsidRDefault="000018ED" w:rsidP="000018ED">
            <w:pPr>
              <w:numPr>
                <w:ilvl w:val="4"/>
                <w:numId w:val="18"/>
              </w:numPr>
              <w:overflowPunct w:val="0"/>
              <w:autoSpaceDE w:val="0"/>
              <w:autoSpaceDN w:val="0"/>
              <w:adjustRightInd w:val="0"/>
              <w:textAlignment w:val="baseline"/>
              <w:rPr>
                <w:rFonts w:eastAsia="Yu Mincho"/>
                <w:color w:val="000000" w:themeColor="text1"/>
              </w:rPr>
            </w:pPr>
            <w:r w:rsidRPr="00297C16">
              <w:rPr>
                <w:rFonts w:eastAsia="Yu Mincho"/>
                <w:color w:val="000000" w:themeColor="text1"/>
              </w:rPr>
              <w:t xml:space="preserve">MPR defined in Table 6.2.2-1 applies for UE power class 3 CA bandwidth classes B and C, along with configured Tx power requirements for 6.2.4 </w:t>
            </w:r>
          </w:p>
          <w:p w14:paraId="572BF9A6" w14:textId="77777777" w:rsidR="000018ED" w:rsidRPr="00297C16" w:rsidRDefault="000018ED" w:rsidP="000018ED">
            <w:pPr>
              <w:numPr>
                <w:ilvl w:val="4"/>
                <w:numId w:val="18"/>
              </w:numPr>
              <w:overflowPunct w:val="0"/>
              <w:autoSpaceDE w:val="0"/>
              <w:autoSpaceDN w:val="0"/>
              <w:adjustRightInd w:val="0"/>
              <w:textAlignment w:val="baseline"/>
              <w:rPr>
                <w:rFonts w:eastAsia="Yu Mincho"/>
                <w:color w:val="000000" w:themeColor="text1"/>
              </w:rPr>
            </w:pPr>
            <w:r w:rsidRPr="00297C16">
              <w:rPr>
                <w:rFonts w:eastAsia="Yu Mincho"/>
                <w:color w:val="000000" w:themeColor="text1"/>
              </w:rPr>
              <w:t xml:space="preserve">MPR defined in Table 6.2D.2-1 applies for power class 2 CA bandwidth classes B and C when TxD capability is indicated, along with configured Tx power requirements for 6.2D.4  </w:t>
            </w:r>
          </w:p>
          <w:p w14:paraId="56B767E5" w14:textId="77777777" w:rsidR="000018ED" w:rsidRDefault="000018ED" w:rsidP="000018ED">
            <w:pPr>
              <w:numPr>
                <w:ilvl w:val="4"/>
                <w:numId w:val="18"/>
              </w:numPr>
              <w:overflowPunct w:val="0"/>
              <w:autoSpaceDE w:val="0"/>
              <w:autoSpaceDN w:val="0"/>
              <w:adjustRightInd w:val="0"/>
              <w:spacing w:after="240"/>
              <w:textAlignment w:val="baseline"/>
              <w:rPr>
                <w:rFonts w:eastAsia="Yu Mincho"/>
                <w:color w:val="000000" w:themeColor="text1"/>
              </w:rPr>
            </w:pPr>
            <w:r w:rsidRPr="00297C16">
              <w:rPr>
                <w:rFonts w:eastAsia="Yu Mincho"/>
                <w:color w:val="000000" w:themeColor="text1"/>
              </w:rPr>
              <w:t xml:space="preserve">MPR defined in Table 6.2.2-2 applies for power class 2 CA bandwidth classes B and C when TxD capability is absent, along with configured Tx power requirements for 6.2.4 </w:t>
            </w:r>
          </w:p>
          <w:p w14:paraId="463371AE" w14:textId="77777777" w:rsidR="008D7E65" w:rsidRPr="00297C16" w:rsidRDefault="008D7E65" w:rsidP="008D7E65">
            <w:pPr>
              <w:pStyle w:val="Heading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2-2-2: Applicable MPR for FR1 intra-band non-contiguous UL CA</w:t>
            </w:r>
          </w:p>
          <w:p w14:paraId="3E9D05BD" w14:textId="77777777" w:rsidR="008D7E65" w:rsidRPr="00297C16" w:rsidRDefault="008D7E65" w:rsidP="008D7E65">
            <w:pPr>
              <w:pStyle w:val="ListParagraph"/>
              <w:numPr>
                <w:ilvl w:val="0"/>
                <w:numId w:val="17"/>
              </w:numPr>
              <w:spacing w:beforeLines="50" w:before="120" w:after="0"/>
              <w:ind w:left="714" w:hanging="357"/>
              <w:contextualSpacing w:val="0"/>
              <w:rPr>
                <w:color w:val="000000" w:themeColor="text1"/>
                <w:szCs w:val="24"/>
                <w:lang w:eastAsia="zh-CN"/>
              </w:rPr>
            </w:pPr>
            <w:r w:rsidRPr="00297C16">
              <w:rPr>
                <w:rFonts w:eastAsia="SimSun"/>
                <w:color w:val="000000" w:themeColor="text1"/>
                <w:szCs w:val="24"/>
                <w:lang w:eastAsia="zh-CN"/>
              </w:rPr>
              <w:t xml:space="preserve">Proposals </w:t>
            </w:r>
          </w:p>
          <w:p w14:paraId="28F20239" w14:textId="77777777" w:rsidR="008D7E65" w:rsidRPr="00297C16" w:rsidRDefault="008D7E65" w:rsidP="008D7E65">
            <w:pPr>
              <w:pStyle w:val="ListParagraph"/>
              <w:numPr>
                <w:ilvl w:val="1"/>
                <w:numId w:val="17"/>
              </w:numPr>
              <w:spacing w:after="120"/>
              <w:ind w:left="1440"/>
              <w:contextualSpacing w:val="0"/>
              <w:jc w:val="both"/>
              <w:rPr>
                <w:rFonts w:eastAsia="SimSun"/>
                <w:color w:val="000000" w:themeColor="text1"/>
                <w:szCs w:val="24"/>
                <w:lang w:eastAsia="zh-CN"/>
              </w:rPr>
            </w:pPr>
            <w:r w:rsidRPr="00297C16">
              <w:rPr>
                <w:rFonts w:eastAsia="SimSun"/>
                <w:color w:val="000000" w:themeColor="text1"/>
                <w:szCs w:val="24"/>
                <w:lang w:eastAsia="zh-CN"/>
              </w:rPr>
              <w:t>Proposal 1: for PC3 and PC2 intra-band non-contiguous CA as the standard already accounts for the use of the single CC MPR tables when only 1 CC is scheduled no further changes to the standard are required. (</w:t>
            </w:r>
            <w:r w:rsidRPr="00297C16">
              <w:rPr>
                <w:rFonts w:eastAsia="SimSun" w:hint="eastAsia"/>
                <w:color w:val="000000" w:themeColor="text1"/>
                <w:szCs w:val="24"/>
                <w:lang w:eastAsia="zh-CN"/>
              </w:rPr>
              <w:t>Qualcomm</w:t>
            </w:r>
            <w:r w:rsidRPr="00297C16">
              <w:rPr>
                <w:rFonts w:eastAsia="SimSun"/>
                <w:color w:val="000000" w:themeColor="text1"/>
                <w:szCs w:val="24"/>
                <w:lang w:eastAsia="zh-CN"/>
              </w:rPr>
              <w:t>, ZTE, Huawei)</w:t>
            </w:r>
          </w:p>
          <w:p w14:paraId="674C0106" w14:textId="77777777" w:rsidR="008D7E65" w:rsidRPr="00297C16" w:rsidRDefault="008D7E65" w:rsidP="008D7E65">
            <w:pPr>
              <w:pStyle w:val="ListParagraph"/>
              <w:numPr>
                <w:ilvl w:val="1"/>
                <w:numId w:val="17"/>
              </w:numPr>
              <w:spacing w:after="120"/>
              <w:ind w:left="1440"/>
              <w:contextualSpacing w:val="0"/>
              <w:jc w:val="both"/>
              <w:rPr>
                <w:rFonts w:eastAsia="SimSun"/>
                <w:color w:val="000000" w:themeColor="text1"/>
                <w:szCs w:val="24"/>
                <w:lang w:eastAsia="zh-CN"/>
              </w:rPr>
            </w:pPr>
            <w:r w:rsidRPr="00297C16">
              <w:rPr>
                <w:rFonts w:eastAsia="SimSun"/>
                <w:color w:val="000000" w:themeColor="text1"/>
                <w:szCs w:val="24"/>
                <w:lang w:eastAsia="zh-CN"/>
              </w:rPr>
              <w:t>Proposal 2: When DualPA is not signalled or TxD or UL MIMO is signalled, transmit interruption may be needed to allow LO switching and the single carrier MPR can be sued when transmitted RBs are allocated in only one of the CC. (Skyworks)</w:t>
            </w:r>
          </w:p>
          <w:p w14:paraId="69D0257C" w14:textId="77777777" w:rsidR="008D7E65" w:rsidRPr="00297C16" w:rsidRDefault="008D7E65" w:rsidP="008D7E65">
            <w:pPr>
              <w:pStyle w:val="ListParagraph"/>
              <w:numPr>
                <w:ilvl w:val="1"/>
                <w:numId w:val="17"/>
              </w:numPr>
              <w:spacing w:after="120"/>
              <w:ind w:left="1440"/>
              <w:contextualSpacing w:val="0"/>
              <w:jc w:val="both"/>
              <w:rPr>
                <w:rFonts w:eastAsia="SimSun"/>
                <w:color w:val="000000" w:themeColor="text1"/>
                <w:szCs w:val="24"/>
                <w:lang w:eastAsia="zh-CN"/>
              </w:rPr>
            </w:pPr>
            <w:r w:rsidRPr="00297C16">
              <w:rPr>
                <w:rFonts w:eastAsia="SimSun" w:hint="eastAsia"/>
                <w:color w:val="000000" w:themeColor="text1"/>
                <w:szCs w:val="24"/>
                <w:lang w:eastAsia="zh-CN"/>
              </w:rPr>
              <w:t>P</w:t>
            </w:r>
            <w:r w:rsidRPr="00297C16">
              <w:rPr>
                <w:rFonts w:eastAsia="SimSun"/>
                <w:color w:val="000000" w:themeColor="text1"/>
                <w:szCs w:val="24"/>
                <w:lang w:eastAsia="zh-CN"/>
              </w:rPr>
              <w:t>roposal 3: for non-contiguous UL CA configurations with sub-blocks consisting of one cell and supported by dual PA architecture, the non-CA (single CC) MPR applies for one cell active among the configured uplink serving cells, the other cell deactivated. (Ericsson)</w:t>
            </w:r>
          </w:p>
          <w:p w14:paraId="0338EE5F" w14:textId="182C6766" w:rsidR="008D7E65" w:rsidRPr="008D7E65" w:rsidRDefault="008D7E65" w:rsidP="008D7E65">
            <w:pPr>
              <w:pStyle w:val="ListParagraph"/>
              <w:numPr>
                <w:ilvl w:val="1"/>
                <w:numId w:val="17"/>
              </w:numPr>
              <w:spacing w:after="240"/>
              <w:ind w:left="1440"/>
              <w:contextualSpacing w:val="0"/>
              <w:jc w:val="both"/>
              <w:rPr>
                <w:rFonts w:eastAsia="SimSun"/>
                <w:color w:val="000000" w:themeColor="text1"/>
                <w:szCs w:val="24"/>
                <w:lang w:eastAsia="zh-CN"/>
              </w:rPr>
            </w:pPr>
            <w:r w:rsidRPr="00297C16">
              <w:rPr>
                <w:rFonts w:eastAsia="SimSun" w:hint="eastAsia"/>
                <w:color w:val="000000" w:themeColor="text1"/>
                <w:szCs w:val="24"/>
                <w:lang w:eastAsia="zh-CN"/>
              </w:rPr>
              <w:t>P</w:t>
            </w:r>
            <w:r w:rsidRPr="00297C16">
              <w:rPr>
                <w:rFonts w:eastAsia="SimSun"/>
                <w:color w:val="000000" w:themeColor="text1"/>
                <w:szCs w:val="24"/>
                <w:lang w:eastAsia="zh-CN"/>
              </w:rPr>
              <w:t>roposal 4: for non-contiguous UL CA configurations with sub-blocks consisting of one cell not supported by a dual PA architecture, applicability of the non-CA (single CC) MPR for one active cell among the configured uplink serving cells, the other cell deactivated, is subject to UE capability, e.g. indication of [mpr-singleCC-activated-FR1] for the band combination. (Ericsson)</w:t>
            </w:r>
          </w:p>
        </w:tc>
      </w:tr>
    </w:tbl>
    <w:p w14:paraId="58EFCA80" w14:textId="345C4CA9" w:rsidR="000018ED" w:rsidRDefault="000018ED" w:rsidP="0012118D">
      <w:pPr>
        <w:spacing w:after="0"/>
      </w:pPr>
    </w:p>
    <w:p w14:paraId="43EDE79E" w14:textId="52885830" w:rsidR="00566134" w:rsidRDefault="0012118D" w:rsidP="00F73F71">
      <w:pPr>
        <w:jc w:val="both"/>
      </w:pPr>
      <w:r>
        <w:t xml:space="preserve">Comparing the three proposals it seems agreeable that </w:t>
      </w:r>
      <w:r w:rsidR="008A55D2">
        <w:t>improved</w:t>
      </w:r>
      <w:r>
        <w:t xml:space="preserve"> requirements shall </w:t>
      </w:r>
      <w:r w:rsidR="008A55D2">
        <w:t>be defined</w:t>
      </w:r>
      <w:r>
        <w:t xml:space="preserve"> if only a single cell is active in case of </w:t>
      </w:r>
      <w:r w:rsidRPr="0012118D">
        <w:t>intra-band contiguous CA</w:t>
      </w:r>
      <w:r>
        <w:t xml:space="preserve">. </w:t>
      </w:r>
      <w:r w:rsidR="00E95107">
        <w:t xml:space="preserve">The performance considerably depends on the RF hardware implementation choice. The most critical </w:t>
      </w:r>
      <w:r w:rsidR="008A55D2">
        <w:t>architecture consideration</w:t>
      </w:r>
      <w:r w:rsidR="00E95107">
        <w:t xml:space="preserve"> is whether the UE supports a single LO for both CCs or whether two separate LOs are deployed for each CC.</w:t>
      </w:r>
      <w:r w:rsidR="00F73F71">
        <w:t xml:space="preserve"> In the first case the LO will likely be somewhere in the centre of the aggregated bandwidth </w:t>
      </w:r>
      <w:r w:rsidR="008A55D2">
        <w:t>from</w:t>
      </w:r>
      <w:r w:rsidR="00F73F71">
        <w:t xml:space="preserve"> the two CCs. To enable improvements the UE needs to re-configure its LO.</w:t>
      </w:r>
      <w:r w:rsidR="008A55D2">
        <w:t xml:space="preserve"> Otherwise, strong IMD products would fall into frequency regions with tight emission limits.</w:t>
      </w:r>
      <w:r w:rsidR="00F73F71">
        <w:t xml:space="preserve"> For this architecture RAN4 might need to discuss impact on time masks and align on the question whether transient periods are needed for potential LO switching </w:t>
      </w:r>
      <w:r w:rsidR="004A4E57">
        <w:t>occurrences</w:t>
      </w:r>
      <w:r w:rsidR="00F73F71">
        <w:t>.</w:t>
      </w:r>
      <w:r w:rsidR="00BD69CB">
        <w:t xml:space="preserve"> This fundamental discussion </w:t>
      </w:r>
      <w:r w:rsidR="003912FA">
        <w:t>might also</w:t>
      </w:r>
      <w:r w:rsidR="00BD69CB">
        <w:t xml:space="preserve"> be needed for non-contiguous carrier aggregation.</w:t>
      </w:r>
      <w:r w:rsidR="004A4E57">
        <w:t xml:space="preserve"> The second case might be simpler in this regard. The UE can shut-off</w:t>
      </w:r>
      <w:r w:rsidR="00363F03">
        <w:t xml:space="preserve"> or supress</w:t>
      </w:r>
      <w:r w:rsidR="004A4E57">
        <w:t xml:space="preserve"> </w:t>
      </w:r>
      <w:r w:rsidR="00363F03">
        <w:t>the unnecessary</w:t>
      </w:r>
      <w:r w:rsidR="004A4E57">
        <w:t xml:space="preserve"> LO if transmission is not scheduled</w:t>
      </w:r>
      <w:r w:rsidR="00363F03">
        <w:t xml:space="preserve">. In the end both architectures could support smaller MPR </w:t>
      </w:r>
      <w:r w:rsidR="005B772C">
        <w:t>for</w:t>
      </w:r>
      <w:r w:rsidR="00363F03">
        <w:t xml:space="preserve"> single CC case. </w:t>
      </w:r>
    </w:p>
    <w:p w14:paraId="78272327" w14:textId="46E7DCCF" w:rsidR="00262F9B" w:rsidRDefault="00262F9B" w:rsidP="00F73F71">
      <w:pPr>
        <w:jc w:val="both"/>
      </w:pPr>
      <w:r>
        <w:t>The captured proposal 2 and proposal 3 seem very similar with their main difference being the applicability of Tx power requirements from clause 6.2.4 of TS 38.101-1.</w:t>
      </w:r>
      <w:r w:rsidR="00C51808">
        <w:t xml:space="preserve"> If a UE is configured with </w:t>
      </w:r>
      <w:r w:rsidR="00C51808" w:rsidRPr="00C51808">
        <w:t>intra-band non-contiguous</w:t>
      </w:r>
      <w:r w:rsidR="00C51808">
        <w:t xml:space="preserve"> or contiguous</w:t>
      </w:r>
      <w:r w:rsidR="00C51808" w:rsidRPr="00C51808">
        <w:t xml:space="preserve"> carrier </w:t>
      </w:r>
      <w:r w:rsidR="00C51808" w:rsidRPr="00C51808">
        <w:lastRenderedPageBreak/>
        <w:t>aggregation</w:t>
      </w:r>
      <w:r w:rsidR="00C51808">
        <w:t xml:space="preserve"> those UL CA requirements </w:t>
      </w:r>
      <w:r w:rsidR="00642CCD">
        <w:t>need</w:t>
      </w:r>
      <w:r w:rsidR="00C51808">
        <w:t xml:space="preserve"> to be applied if bandwidth class B and C are used in the UL.</w:t>
      </w:r>
      <w:r w:rsidR="00642CCD">
        <w:t xml:space="preserve"> In case of proposal 3, if the UE is only scheduled with RB allocations in a single</w:t>
      </w:r>
      <w:r w:rsidR="00BF3AB1">
        <w:t xml:space="preserve"> CC while the second CC is empty,</w:t>
      </w:r>
      <w:r w:rsidR="005A3398">
        <w:t xml:space="preserve"> then</w:t>
      </w:r>
      <w:r w:rsidR="003912FA">
        <w:t xml:space="preserve"> the </w:t>
      </w:r>
      <w:r w:rsidR="00642CCD">
        <w:t>UE</w:t>
      </w:r>
      <w:r w:rsidR="003912FA">
        <w:t xml:space="preserve"> would be required</w:t>
      </w:r>
      <w:r w:rsidR="00642CCD">
        <w:t xml:space="preserve"> to apply single Tx carrier requirements. If the network update</w:t>
      </w:r>
      <w:r w:rsidR="00A16419">
        <w:t>s</w:t>
      </w:r>
      <w:r w:rsidR="00642CCD">
        <w:t xml:space="preserve"> the uplink configuration with RB allocations </w:t>
      </w:r>
      <w:r w:rsidR="002318F4">
        <w:t>occupying</w:t>
      </w:r>
      <w:r w:rsidR="00642CCD">
        <w:t xml:space="preserve"> both CCs then the UE would need to discard the single Tx carrier requirements and configure the UL CA requirements. This </w:t>
      </w:r>
      <w:r w:rsidR="00174887">
        <w:t>lead</w:t>
      </w:r>
      <w:r w:rsidR="00F52511">
        <w:t>s</w:t>
      </w:r>
      <w:r w:rsidR="00174887">
        <w:t xml:space="preserve"> to </w:t>
      </w:r>
      <w:r w:rsidR="00642CCD">
        <w:t xml:space="preserve">some significant updates </w:t>
      </w:r>
      <w:r w:rsidR="00893375">
        <w:t>of</w:t>
      </w:r>
      <w:r w:rsidR="00642CCD">
        <w:t xml:space="preserve"> requirements for a simple RB allocation change.</w:t>
      </w:r>
      <w:r w:rsidR="007A3268">
        <w:t xml:space="preserve"> It would be much </w:t>
      </w:r>
      <w:r w:rsidR="005A3398">
        <w:t>easier</w:t>
      </w:r>
      <w:r w:rsidR="007A3268">
        <w:t xml:space="preserve"> to keep the UL CA requirements and simply apply single CC MPR table.</w:t>
      </w:r>
      <w:r w:rsidR="00350F42" w:rsidRPr="00350F42">
        <w:t> </w:t>
      </w:r>
      <w:r w:rsidR="0027552A" w:rsidRPr="0027552A">
        <w:t xml:space="preserve">This seems to be a </w:t>
      </w:r>
      <w:r w:rsidR="005A3398">
        <w:t>smaller</w:t>
      </w:r>
      <w:r w:rsidR="0027552A" w:rsidRPr="0027552A">
        <w:t xml:space="preserve"> change as only the single CC MPR table needs to be </w:t>
      </w:r>
      <w:r w:rsidR="00F52511">
        <w:t>substituted</w:t>
      </w:r>
      <w:r w:rsidR="0027552A" w:rsidRPr="0027552A">
        <w:t xml:space="preserve"> with UL CA table</w:t>
      </w:r>
      <w:r w:rsidR="007A3268">
        <w:t>.</w:t>
      </w:r>
      <w:r w:rsidR="00174887">
        <w:t xml:space="preserve"> Additionally, the clause </w:t>
      </w:r>
      <w:r w:rsidR="00174887" w:rsidRPr="00174887">
        <w:t>6.2A.4.1.1</w:t>
      </w:r>
      <w:r w:rsidR="00174887">
        <w:t xml:space="preserve"> refers to clause 6.2.4 for the individual serving cell c. The difference to purely applying 6.2.4 is that total P</w:t>
      </w:r>
      <w:r w:rsidR="00174887" w:rsidRPr="006F796C">
        <w:rPr>
          <w:vertAlign w:val="subscript"/>
        </w:rPr>
        <w:t>cmax</w:t>
      </w:r>
      <w:r w:rsidR="00174887">
        <w:t xml:space="preserve"> is bounded by P</w:t>
      </w:r>
      <w:r w:rsidR="00174887" w:rsidRPr="00174887">
        <w:rPr>
          <w:vertAlign w:val="subscript"/>
        </w:rPr>
        <w:t xml:space="preserve">PowerClass,CA </w:t>
      </w:r>
      <w:r w:rsidR="00174887">
        <w:t>and not by P</w:t>
      </w:r>
      <w:r w:rsidR="00174887" w:rsidRPr="00174887">
        <w:rPr>
          <w:vertAlign w:val="subscript"/>
        </w:rPr>
        <w:t>PowerClass</w:t>
      </w:r>
      <w:r w:rsidR="00174887" w:rsidRPr="00174887">
        <w:t>.</w:t>
      </w:r>
      <w:r w:rsidR="00174887">
        <w:t xml:space="preserve"> This </w:t>
      </w:r>
      <w:r w:rsidR="006F796C">
        <w:t>might</w:t>
      </w:r>
      <w:r w:rsidR="00174887">
        <w:t xml:space="preserve"> make a difference</w:t>
      </w:r>
      <w:r w:rsidR="00374A73">
        <w:t xml:space="preserve"> for PHR</w:t>
      </w:r>
      <w:r w:rsidR="00174887">
        <w:t xml:space="preserve"> if the CA is </w:t>
      </w:r>
      <w:r w:rsidR="006F796C">
        <w:t>PC3,</w:t>
      </w:r>
      <w:r w:rsidR="00174887">
        <w:t xml:space="preserve"> </w:t>
      </w:r>
      <w:r w:rsidR="00FE7DC3" w:rsidRPr="00FE7DC3">
        <w:t> but the UE advertises the single band as PC2</w:t>
      </w:r>
      <w:r w:rsidR="00ED372F">
        <w:t>.</w:t>
      </w:r>
      <w:r w:rsidR="00154F45">
        <w:t xml:space="preserve"> </w:t>
      </w:r>
      <w:r w:rsidR="00025392">
        <w:t>F</w:t>
      </w:r>
      <w:r w:rsidR="00154F45">
        <w:t>urther discussion would be needed to check on all</w:t>
      </w:r>
      <w:r w:rsidR="00553FE8">
        <w:t xml:space="preserve"> those</w:t>
      </w:r>
      <w:r w:rsidR="00154F45">
        <w:t xml:space="preserve"> issues.</w:t>
      </w:r>
      <w:r w:rsidR="00174887">
        <w:t xml:space="preserve"> </w:t>
      </w:r>
    </w:p>
    <w:p w14:paraId="153BEB3C" w14:textId="3031BA72" w:rsidR="0012118D" w:rsidRDefault="00363F03" w:rsidP="00F73F71">
      <w:pPr>
        <w:jc w:val="both"/>
      </w:pPr>
      <w:r w:rsidRPr="00363F03">
        <w:rPr>
          <w:b/>
          <w:bCs/>
        </w:rPr>
        <w:t>Observation</w:t>
      </w:r>
      <w:r>
        <w:t xml:space="preserve">: </w:t>
      </w:r>
      <w:r w:rsidR="004A4E57">
        <w:t xml:space="preserve"> </w:t>
      </w:r>
      <w:r>
        <w:t xml:space="preserve">The performance considerably depends on the RF hardware implementation choice. The most critical aspect is whether the UE supports a single LO for both CCs or whether two separate LOs are deployed for each CC. In the first case the LO will likely be somewhere in the centre of the aggregated bandwidth </w:t>
      </w:r>
      <w:r w:rsidR="005A3398">
        <w:t>from</w:t>
      </w:r>
      <w:r>
        <w:t xml:space="preserve"> the two CCs. To enable improvements the UE needs to re-configure its LO.</w:t>
      </w:r>
      <w:r w:rsidR="005A3398">
        <w:t xml:space="preserve"> Otherwise, strong IMD products would fall into frequency regions with tight emission limits.</w:t>
      </w:r>
      <w:r>
        <w:t xml:space="preserve"> For this architecture RAN4 might need to discuss impact on time masks and align on the question whether transient periods are needed for potential LO switching occurrences.</w:t>
      </w:r>
    </w:p>
    <w:p w14:paraId="2D5EB1A0" w14:textId="35EDB8E7" w:rsidR="00363F03" w:rsidRDefault="00363F03" w:rsidP="00F73F71">
      <w:pPr>
        <w:jc w:val="both"/>
      </w:pPr>
      <w:r w:rsidRPr="00363F03">
        <w:rPr>
          <w:b/>
          <w:bCs/>
        </w:rPr>
        <w:t>Proposal</w:t>
      </w:r>
      <w:r w:rsidR="005A3398">
        <w:rPr>
          <w:b/>
          <w:bCs/>
        </w:rPr>
        <w:t xml:space="preserve"> 1</w:t>
      </w:r>
      <w:r>
        <w:t>: Discuss impact on requirements if LO needs to be re-configured to support single CC MPR.</w:t>
      </w:r>
      <w:r w:rsidR="00713CF4">
        <w:t xml:space="preserve"> This discussion would be required for intra-band contiguous and non-contiguous </w:t>
      </w:r>
      <w:r w:rsidR="003E1D4D">
        <w:t>carrier aggregation</w:t>
      </w:r>
      <w:r w:rsidR="00713CF4">
        <w:t>.</w:t>
      </w:r>
    </w:p>
    <w:p w14:paraId="1969D2B7" w14:textId="29B4D48F" w:rsidR="00DF0D85" w:rsidRPr="005F1C1B" w:rsidRDefault="00DF0D85" w:rsidP="00F73F71">
      <w:pPr>
        <w:jc w:val="both"/>
      </w:pPr>
      <w:r w:rsidRPr="00DF0D85">
        <w:rPr>
          <w:b/>
          <w:bCs/>
        </w:rPr>
        <w:t>Proposal</w:t>
      </w:r>
      <w:r w:rsidR="005A3398">
        <w:rPr>
          <w:b/>
          <w:bCs/>
        </w:rPr>
        <w:t xml:space="preserve"> 2</w:t>
      </w:r>
      <w:r>
        <w:t xml:space="preserve">: </w:t>
      </w:r>
      <w:r w:rsidR="00347C11">
        <w:t xml:space="preserve">Consider </w:t>
      </w:r>
      <w:r>
        <w:t xml:space="preserve">proposal 2 from </w:t>
      </w:r>
      <w:r w:rsidRPr="00DF0D85">
        <w:t>Issue 2-1-1</w:t>
      </w:r>
      <w:r w:rsidR="00347C11">
        <w:t xml:space="preserve"> for further discussion as it seems </w:t>
      </w:r>
      <w:r w:rsidR="00C96D45">
        <w:t xml:space="preserve">to be </w:t>
      </w:r>
      <w:r w:rsidR="00347C11">
        <w:t xml:space="preserve">the simpler option due to less requirement </w:t>
      </w:r>
      <w:r w:rsidR="005A3398">
        <w:t>switching</w:t>
      </w:r>
      <w:r w:rsidR="00347C11">
        <w:t xml:space="preserve"> when the network changes CC activation</w:t>
      </w:r>
      <w:r>
        <w:t>.</w:t>
      </w:r>
    </w:p>
    <w:p w14:paraId="721A73A9" w14:textId="4015F098" w:rsidR="00310145" w:rsidRPr="00015CF0" w:rsidRDefault="00310145" w:rsidP="00310145">
      <w:pPr>
        <w:jc w:val="center"/>
      </w:pPr>
    </w:p>
    <w:p w14:paraId="34C99636" w14:textId="553B2D88" w:rsidR="008E7986" w:rsidRDefault="00A84761" w:rsidP="008E7986">
      <w:pPr>
        <w:pStyle w:val="Heading1"/>
      </w:pPr>
      <w:r>
        <w:t>4</w:t>
      </w:r>
      <w:r w:rsidR="008E7986">
        <w:tab/>
        <w:t>Conclusions</w:t>
      </w:r>
    </w:p>
    <w:p w14:paraId="714557C6" w14:textId="3A5FEE6D" w:rsidR="00F73D52" w:rsidRDefault="00F73D52" w:rsidP="00F73D52">
      <w:r>
        <w:t>This contribution provides certain considerations to the discussion on the MPR reduction which his part of the power domain enhancement WID. The following observation</w:t>
      </w:r>
      <w:r w:rsidR="00C05FBC">
        <w:t xml:space="preserve">s </w:t>
      </w:r>
      <w:r>
        <w:t>are made:</w:t>
      </w:r>
    </w:p>
    <w:p w14:paraId="3193B07B" w14:textId="77777777" w:rsidR="005A3398" w:rsidRDefault="005A3398" w:rsidP="005A3398">
      <w:pPr>
        <w:jc w:val="both"/>
      </w:pPr>
      <w:r w:rsidRPr="00363F03">
        <w:rPr>
          <w:b/>
          <w:bCs/>
        </w:rPr>
        <w:t>Observation</w:t>
      </w:r>
      <w:r>
        <w:t>:  The performance considerably depends on the RF hardware implementation choice. The most critical aspect is whether the UE supports a single LO for both CCs or whether two separate LOs are deployed for each CC. In the first case the LO will likely be somewhere in the centre of the aggregated bandwidth from the two CCs. To enable improvements the UE needs to re-configure its LO. Otherwise, strong IMD products would fall into frequency regions with tight emission limits. For this architecture RAN4 might need to discuss impact on time masks and align on the question whether transient periods are needed for potential LO switching occurrences.</w:t>
      </w:r>
    </w:p>
    <w:p w14:paraId="09E621E6" w14:textId="77777777" w:rsidR="005A3398" w:rsidRDefault="005A3398" w:rsidP="005A3398">
      <w:pPr>
        <w:jc w:val="both"/>
      </w:pPr>
      <w:r w:rsidRPr="00363F03">
        <w:rPr>
          <w:b/>
          <w:bCs/>
        </w:rPr>
        <w:t>Proposal</w:t>
      </w:r>
      <w:r>
        <w:rPr>
          <w:b/>
          <w:bCs/>
        </w:rPr>
        <w:t xml:space="preserve"> 1</w:t>
      </w:r>
      <w:r>
        <w:t>: Discuss impact on requirements if LO needs to be re-configured to support single CC MPR. This discussion would be required for intra-band contiguous and non-contiguous carrier aggregation.</w:t>
      </w:r>
    </w:p>
    <w:p w14:paraId="5CAF2568" w14:textId="77777777" w:rsidR="005A3398" w:rsidRPr="005F1C1B" w:rsidRDefault="005A3398" w:rsidP="005A3398">
      <w:pPr>
        <w:jc w:val="both"/>
      </w:pPr>
      <w:r w:rsidRPr="00DF0D85">
        <w:rPr>
          <w:b/>
          <w:bCs/>
        </w:rPr>
        <w:t>Proposal</w:t>
      </w:r>
      <w:r>
        <w:rPr>
          <w:b/>
          <w:bCs/>
        </w:rPr>
        <w:t xml:space="preserve"> 2</w:t>
      </w:r>
      <w:r>
        <w:t xml:space="preserve">: Consider proposal 2 from </w:t>
      </w:r>
      <w:r w:rsidRPr="00DF0D85">
        <w:t>Issue 2-1-1</w:t>
      </w:r>
      <w:r>
        <w:t xml:space="preserve"> for further discussion as it seems to be the simpler option due to less requirement switching when the network changes CC activation.</w:t>
      </w:r>
    </w:p>
    <w:p w14:paraId="27533276" w14:textId="77777777" w:rsidR="00692E14" w:rsidRDefault="00692E14" w:rsidP="00F73D52"/>
    <w:p w14:paraId="5D2DDC34" w14:textId="77777777" w:rsidR="005E69AE" w:rsidRDefault="005E69AE" w:rsidP="005E69AE">
      <w:pPr>
        <w:pStyle w:val="Heading1"/>
      </w:pPr>
      <w:r>
        <w:t>4</w:t>
      </w:r>
      <w:r>
        <w:tab/>
        <w:t>References</w:t>
      </w:r>
    </w:p>
    <w:bookmarkEnd w:id="0"/>
    <w:p w14:paraId="46030AF9" w14:textId="63336A97" w:rsidR="006F7CE5" w:rsidRPr="009A221B"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77C3CE2B" w14:textId="1B64DAE2" w:rsidR="00EB2076" w:rsidRDefault="00634F57" w:rsidP="008630CC">
      <w:pPr>
        <w:numPr>
          <w:ilvl w:val="0"/>
          <w:numId w:val="11"/>
        </w:numPr>
        <w:rPr>
          <w:bCs/>
          <w:lang w:val="en-US"/>
        </w:rPr>
      </w:pPr>
      <w:r w:rsidRPr="00634F57">
        <w:rPr>
          <w:bCs/>
          <w:lang w:val="en-US"/>
        </w:rPr>
        <w:t>R4-2410749</w:t>
      </w:r>
      <w:r w:rsidR="00EB2076">
        <w:rPr>
          <w:bCs/>
          <w:lang w:val="en-US"/>
        </w:rPr>
        <w:t>, “</w:t>
      </w:r>
      <w:r w:rsidR="00EB2076" w:rsidRPr="00EB2076">
        <w:rPr>
          <w:bCs/>
        </w:rPr>
        <w:t>WF on power domain enhancements</w:t>
      </w:r>
      <w:r w:rsidR="00EB2076">
        <w:rPr>
          <w:bCs/>
          <w:lang w:val="en-US"/>
        </w:rPr>
        <w:t xml:space="preserve">”, </w:t>
      </w:r>
      <w:r w:rsidR="00EB2076" w:rsidRPr="00EB2076">
        <w:rPr>
          <w:bCs/>
          <w:lang w:val="en-US"/>
        </w:rPr>
        <w:t>Huawei, HiSilicon</w:t>
      </w:r>
      <w:r w:rsidR="00EB2076">
        <w:rPr>
          <w:bCs/>
          <w:lang w:val="en-US"/>
        </w:rPr>
        <w:t xml:space="preserve">, </w:t>
      </w:r>
      <w:r w:rsidR="00EB2076" w:rsidRPr="00EB2076">
        <w:rPr>
          <w:bCs/>
          <w:lang w:val="en-US"/>
        </w:rPr>
        <w:t>3GPP TSG-RAN WG4 Meeting #11</w:t>
      </w:r>
      <w:r>
        <w:rPr>
          <w:bCs/>
          <w:lang w:val="en-US"/>
        </w:rPr>
        <w:t>1</w:t>
      </w:r>
    </w:p>
    <w:p w14:paraId="2CF28DDF" w14:textId="18D7C7BD" w:rsidR="007D6A07" w:rsidRPr="00EB2076" w:rsidRDefault="007D6A07" w:rsidP="008630CC">
      <w:pPr>
        <w:numPr>
          <w:ilvl w:val="0"/>
          <w:numId w:val="11"/>
        </w:numPr>
        <w:rPr>
          <w:bCs/>
          <w:lang w:val="en-US"/>
        </w:rPr>
      </w:pPr>
      <w:r w:rsidRPr="007D6A07">
        <w:rPr>
          <w:bCs/>
          <w:lang w:val="en-US"/>
        </w:rPr>
        <w:t>R4-2411153</w:t>
      </w:r>
      <w:r>
        <w:rPr>
          <w:bCs/>
          <w:lang w:val="en-US"/>
        </w:rPr>
        <w:t>, “</w:t>
      </w:r>
      <w:r w:rsidRPr="007D6A07">
        <w:rPr>
          <w:bCs/>
        </w:rPr>
        <w:t>On Rel-19 power domain enhancement</w:t>
      </w:r>
      <w:r>
        <w:rPr>
          <w:bCs/>
          <w:lang w:val="en-US"/>
        </w:rPr>
        <w:t>”,</w:t>
      </w:r>
      <w:r w:rsidR="00E43CAD">
        <w:rPr>
          <w:bCs/>
          <w:lang w:val="en-US"/>
        </w:rPr>
        <w:t xml:space="preserve"> Apple,</w:t>
      </w:r>
      <w:r>
        <w:rPr>
          <w:bCs/>
          <w:lang w:val="en-US"/>
        </w:rPr>
        <w:t xml:space="preserve"> </w:t>
      </w:r>
      <w:r w:rsidRPr="007D6A07">
        <w:rPr>
          <w:bCs/>
          <w:lang w:val="en-US"/>
        </w:rPr>
        <w:t>Maastricht, Netherlands, August 19th – 23rd, 2024</w:t>
      </w:r>
    </w:p>
    <w:p w14:paraId="21F9D74F" w14:textId="77777777" w:rsidR="005E69AE" w:rsidRPr="007F3A2A" w:rsidRDefault="005E69AE" w:rsidP="005E69AE">
      <w:pPr>
        <w:rPr>
          <w:lang w:val="en-US"/>
        </w:rPr>
      </w:pPr>
    </w:p>
    <w:sectPr w:rsidR="005E69AE" w:rsidRPr="007F3A2A" w:rsidSect="00750CC1">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BE103" w14:textId="77777777" w:rsidR="0048524F" w:rsidRDefault="0048524F">
      <w:r>
        <w:separator/>
      </w:r>
    </w:p>
  </w:endnote>
  <w:endnote w:type="continuationSeparator" w:id="0">
    <w:p w14:paraId="72461420" w14:textId="77777777" w:rsidR="0048524F" w:rsidRDefault="0048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1D2BD" w14:textId="77777777" w:rsidR="0048524F" w:rsidRDefault="0048524F">
      <w:r>
        <w:separator/>
      </w:r>
    </w:p>
  </w:footnote>
  <w:footnote w:type="continuationSeparator" w:id="0">
    <w:p w14:paraId="201C6E66" w14:textId="77777777" w:rsidR="0048524F" w:rsidRDefault="0048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5"/>
  </w:num>
  <w:num w:numId="5" w16cid:durableId="636910375">
    <w:abstractNumId w:val="2"/>
  </w:num>
  <w:num w:numId="6" w16cid:durableId="628702817">
    <w:abstractNumId w:val="2"/>
  </w:num>
  <w:num w:numId="7" w16cid:durableId="822425343">
    <w:abstractNumId w:val="9"/>
  </w:num>
  <w:num w:numId="8" w16cid:durableId="858004916">
    <w:abstractNumId w:val="5"/>
  </w:num>
  <w:num w:numId="9" w16cid:durableId="686558600">
    <w:abstractNumId w:val="3"/>
  </w:num>
  <w:num w:numId="10" w16cid:durableId="777027033">
    <w:abstractNumId w:val="7"/>
  </w:num>
  <w:num w:numId="11" w16cid:durableId="899704539">
    <w:abstractNumId w:val="14"/>
  </w:num>
  <w:num w:numId="12" w16cid:durableId="980811830">
    <w:abstractNumId w:val="16"/>
  </w:num>
  <w:num w:numId="13" w16cid:durableId="529956578">
    <w:abstractNumId w:val="11"/>
  </w:num>
  <w:num w:numId="14" w16cid:durableId="1744718227">
    <w:abstractNumId w:val="10"/>
  </w:num>
  <w:num w:numId="15" w16cid:durableId="1131510691">
    <w:abstractNumId w:val="8"/>
  </w:num>
  <w:num w:numId="16" w16cid:durableId="500437673">
    <w:abstractNumId w:val="4"/>
  </w:num>
  <w:num w:numId="17" w16cid:durableId="1458336715">
    <w:abstractNumId w:val="12"/>
  </w:num>
  <w:num w:numId="18" w16cid:durableId="577711409">
    <w:abstractNumId w:val="13"/>
  </w:num>
  <w:num w:numId="19" w16cid:durableId="11524036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722D"/>
    <w:rsid w:val="000248F1"/>
    <w:rsid w:val="00025392"/>
    <w:rsid w:val="00025443"/>
    <w:rsid w:val="00032EDA"/>
    <w:rsid w:val="00033397"/>
    <w:rsid w:val="0003447A"/>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FA3"/>
    <w:rsid w:val="00054A22"/>
    <w:rsid w:val="00054E52"/>
    <w:rsid w:val="00054F1F"/>
    <w:rsid w:val="00056B4F"/>
    <w:rsid w:val="00060296"/>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80512"/>
    <w:rsid w:val="000818FF"/>
    <w:rsid w:val="00081A31"/>
    <w:rsid w:val="00081A6D"/>
    <w:rsid w:val="000820DC"/>
    <w:rsid w:val="00082D55"/>
    <w:rsid w:val="00083FB3"/>
    <w:rsid w:val="0008654D"/>
    <w:rsid w:val="00086865"/>
    <w:rsid w:val="00086A4C"/>
    <w:rsid w:val="000872A6"/>
    <w:rsid w:val="000916EC"/>
    <w:rsid w:val="000921EA"/>
    <w:rsid w:val="00093704"/>
    <w:rsid w:val="00094735"/>
    <w:rsid w:val="00094B44"/>
    <w:rsid w:val="00094D5E"/>
    <w:rsid w:val="00096C65"/>
    <w:rsid w:val="000A365D"/>
    <w:rsid w:val="000A47E4"/>
    <w:rsid w:val="000A530C"/>
    <w:rsid w:val="000A68F3"/>
    <w:rsid w:val="000B0AFE"/>
    <w:rsid w:val="000B3682"/>
    <w:rsid w:val="000B6541"/>
    <w:rsid w:val="000B7959"/>
    <w:rsid w:val="000C05BE"/>
    <w:rsid w:val="000C0D1B"/>
    <w:rsid w:val="000C1193"/>
    <w:rsid w:val="000C2203"/>
    <w:rsid w:val="000C4381"/>
    <w:rsid w:val="000C47C3"/>
    <w:rsid w:val="000D2A2D"/>
    <w:rsid w:val="000D58AB"/>
    <w:rsid w:val="000D640F"/>
    <w:rsid w:val="000E039B"/>
    <w:rsid w:val="000E1251"/>
    <w:rsid w:val="000E3065"/>
    <w:rsid w:val="000E4A3E"/>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4BC6"/>
    <w:rsid w:val="001064E7"/>
    <w:rsid w:val="001073F6"/>
    <w:rsid w:val="00107FB2"/>
    <w:rsid w:val="00114E2C"/>
    <w:rsid w:val="0012118D"/>
    <w:rsid w:val="0012407D"/>
    <w:rsid w:val="0012493E"/>
    <w:rsid w:val="00126CA6"/>
    <w:rsid w:val="00131A96"/>
    <w:rsid w:val="00132BFB"/>
    <w:rsid w:val="00133525"/>
    <w:rsid w:val="00136368"/>
    <w:rsid w:val="001375F4"/>
    <w:rsid w:val="00140B8D"/>
    <w:rsid w:val="00141DDF"/>
    <w:rsid w:val="00145755"/>
    <w:rsid w:val="00146221"/>
    <w:rsid w:val="00151DA2"/>
    <w:rsid w:val="00152929"/>
    <w:rsid w:val="00152973"/>
    <w:rsid w:val="001542D7"/>
    <w:rsid w:val="00154F45"/>
    <w:rsid w:val="00155F71"/>
    <w:rsid w:val="0015753C"/>
    <w:rsid w:val="00161A9C"/>
    <w:rsid w:val="001635BB"/>
    <w:rsid w:val="00164651"/>
    <w:rsid w:val="00167169"/>
    <w:rsid w:val="00172A7E"/>
    <w:rsid w:val="00173B76"/>
    <w:rsid w:val="00173B8B"/>
    <w:rsid w:val="00174887"/>
    <w:rsid w:val="00176C55"/>
    <w:rsid w:val="00176E29"/>
    <w:rsid w:val="00177BF7"/>
    <w:rsid w:val="00181C7F"/>
    <w:rsid w:val="001825E3"/>
    <w:rsid w:val="001827A9"/>
    <w:rsid w:val="00183DAE"/>
    <w:rsid w:val="00185B14"/>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F0C1D"/>
    <w:rsid w:val="001F1132"/>
    <w:rsid w:val="001F168B"/>
    <w:rsid w:val="001F1D6F"/>
    <w:rsid w:val="001F1E66"/>
    <w:rsid w:val="001F29BF"/>
    <w:rsid w:val="001F2DBE"/>
    <w:rsid w:val="001F2DE3"/>
    <w:rsid w:val="001F5F92"/>
    <w:rsid w:val="001F6D59"/>
    <w:rsid w:val="001F7AB5"/>
    <w:rsid w:val="001F7F82"/>
    <w:rsid w:val="00200328"/>
    <w:rsid w:val="00203852"/>
    <w:rsid w:val="00203BDC"/>
    <w:rsid w:val="00203F71"/>
    <w:rsid w:val="0020602D"/>
    <w:rsid w:val="002124DC"/>
    <w:rsid w:val="0021467A"/>
    <w:rsid w:val="00215574"/>
    <w:rsid w:val="0021742C"/>
    <w:rsid w:val="00217FBC"/>
    <w:rsid w:val="002224BC"/>
    <w:rsid w:val="00223D79"/>
    <w:rsid w:val="00227393"/>
    <w:rsid w:val="002318F4"/>
    <w:rsid w:val="002330E2"/>
    <w:rsid w:val="002334C4"/>
    <w:rsid w:val="002347A2"/>
    <w:rsid w:val="00236FDB"/>
    <w:rsid w:val="00243987"/>
    <w:rsid w:val="00245DBF"/>
    <w:rsid w:val="00247926"/>
    <w:rsid w:val="00251005"/>
    <w:rsid w:val="00251B42"/>
    <w:rsid w:val="002520AD"/>
    <w:rsid w:val="002545D3"/>
    <w:rsid w:val="00256451"/>
    <w:rsid w:val="00257476"/>
    <w:rsid w:val="0025766C"/>
    <w:rsid w:val="0026127A"/>
    <w:rsid w:val="00261AE0"/>
    <w:rsid w:val="0026254E"/>
    <w:rsid w:val="00262F9B"/>
    <w:rsid w:val="00263C74"/>
    <w:rsid w:val="0026414D"/>
    <w:rsid w:val="0026644B"/>
    <w:rsid w:val="00266B7E"/>
    <w:rsid w:val="002675F0"/>
    <w:rsid w:val="00271ADF"/>
    <w:rsid w:val="00274755"/>
    <w:rsid w:val="0027552A"/>
    <w:rsid w:val="00276EE4"/>
    <w:rsid w:val="002809CF"/>
    <w:rsid w:val="00281AE2"/>
    <w:rsid w:val="0028330D"/>
    <w:rsid w:val="002846C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6B80"/>
    <w:rsid w:val="002C7B3F"/>
    <w:rsid w:val="002D1CA2"/>
    <w:rsid w:val="002D2E22"/>
    <w:rsid w:val="002D3BC5"/>
    <w:rsid w:val="002D43EC"/>
    <w:rsid w:val="002D6E04"/>
    <w:rsid w:val="002E00EE"/>
    <w:rsid w:val="002E07CC"/>
    <w:rsid w:val="002E174C"/>
    <w:rsid w:val="002E3343"/>
    <w:rsid w:val="002E4080"/>
    <w:rsid w:val="002E4411"/>
    <w:rsid w:val="002E4450"/>
    <w:rsid w:val="002E5B4B"/>
    <w:rsid w:val="002E65BE"/>
    <w:rsid w:val="002E76E8"/>
    <w:rsid w:val="002F259A"/>
    <w:rsid w:val="002F2EC3"/>
    <w:rsid w:val="002F3A0F"/>
    <w:rsid w:val="002F3FB7"/>
    <w:rsid w:val="002F6F2B"/>
    <w:rsid w:val="002F7647"/>
    <w:rsid w:val="003008B8"/>
    <w:rsid w:val="00301456"/>
    <w:rsid w:val="00302057"/>
    <w:rsid w:val="00302805"/>
    <w:rsid w:val="003037A3"/>
    <w:rsid w:val="00305920"/>
    <w:rsid w:val="003077A8"/>
    <w:rsid w:val="00310145"/>
    <w:rsid w:val="00312F6E"/>
    <w:rsid w:val="0031302C"/>
    <w:rsid w:val="003138B0"/>
    <w:rsid w:val="00313FF5"/>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47C11"/>
    <w:rsid w:val="00350F42"/>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4A73"/>
    <w:rsid w:val="00375529"/>
    <w:rsid w:val="0037554F"/>
    <w:rsid w:val="003765B8"/>
    <w:rsid w:val="00380D4D"/>
    <w:rsid w:val="00382880"/>
    <w:rsid w:val="00383106"/>
    <w:rsid w:val="00387382"/>
    <w:rsid w:val="00387858"/>
    <w:rsid w:val="003909CA"/>
    <w:rsid w:val="003912FA"/>
    <w:rsid w:val="00393EA5"/>
    <w:rsid w:val="003961F3"/>
    <w:rsid w:val="003A0483"/>
    <w:rsid w:val="003A18C7"/>
    <w:rsid w:val="003A2CE9"/>
    <w:rsid w:val="003A3886"/>
    <w:rsid w:val="003A3A25"/>
    <w:rsid w:val="003A47F0"/>
    <w:rsid w:val="003A5B91"/>
    <w:rsid w:val="003B076D"/>
    <w:rsid w:val="003B109E"/>
    <w:rsid w:val="003B3719"/>
    <w:rsid w:val="003B4A2F"/>
    <w:rsid w:val="003C00A0"/>
    <w:rsid w:val="003C3971"/>
    <w:rsid w:val="003C458E"/>
    <w:rsid w:val="003C5715"/>
    <w:rsid w:val="003D1307"/>
    <w:rsid w:val="003D487F"/>
    <w:rsid w:val="003D55A8"/>
    <w:rsid w:val="003D566C"/>
    <w:rsid w:val="003D649C"/>
    <w:rsid w:val="003D713C"/>
    <w:rsid w:val="003D7EE1"/>
    <w:rsid w:val="003D7EFE"/>
    <w:rsid w:val="003E0648"/>
    <w:rsid w:val="003E0D43"/>
    <w:rsid w:val="003E1664"/>
    <w:rsid w:val="003E1C53"/>
    <w:rsid w:val="003E1D4D"/>
    <w:rsid w:val="003E390C"/>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4540"/>
    <w:rsid w:val="004345EC"/>
    <w:rsid w:val="0043541E"/>
    <w:rsid w:val="00436019"/>
    <w:rsid w:val="004401CB"/>
    <w:rsid w:val="00440C35"/>
    <w:rsid w:val="00443B1F"/>
    <w:rsid w:val="004473AE"/>
    <w:rsid w:val="004508D2"/>
    <w:rsid w:val="004509C1"/>
    <w:rsid w:val="00450B2E"/>
    <w:rsid w:val="00452052"/>
    <w:rsid w:val="00452229"/>
    <w:rsid w:val="004534E4"/>
    <w:rsid w:val="00453CB9"/>
    <w:rsid w:val="00454592"/>
    <w:rsid w:val="00454742"/>
    <w:rsid w:val="004556E0"/>
    <w:rsid w:val="004573F2"/>
    <w:rsid w:val="00457561"/>
    <w:rsid w:val="00460045"/>
    <w:rsid w:val="004634D0"/>
    <w:rsid w:val="004640F5"/>
    <w:rsid w:val="00465596"/>
    <w:rsid w:val="004661C2"/>
    <w:rsid w:val="0047076F"/>
    <w:rsid w:val="00471049"/>
    <w:rsid w:val="00471735"/>
    <w:rsid w:val="00473B6B"/>
    <w:rsid w:val="004758E7"/>
    <w:rsid w:val="004759F3"/>
    <w:rsid w:val="004800C7"/>
    <w:rsid w:val="004826A9"/>
    <w:rsid w:val="00482883"/>
    <w:rsid w:val="004837BD"/>
    <w:rsid w:val="00484657"/>
    <w:rsid w:val="00484CDE"/>
    <w:rsid w:val="0048524F"/>
    <w:rsid w:val="00485640"/>
    <w:rsid w:val="00491BD5"/>
    <w:rsid w:val="00493104"/>
    <w:rsid w:val="00496011"/>
    <w:rsid w:val="00496ACE"/>
    <w:rsid w:val="0049720D"/>
    <w:rsid w:val="004A0895"/>
    <w:rsid w:val="004A0BE5"/>
    <w:rsid w:val="004A14E4"/>
    <w:rsid w:val="004A22C7"/>
    <w:rsid w:val="004A3213"/>
    <w:rsid w:val="004A4662"/>
    <w:rsid w:val="004A4E57"/>
    <w:rsid w:val="004B0BA7"/>
    <w:rsid w:val="004B0DDB"/>
    <w:rsid w:val="004B19F2"/>
    <w:rsid w:val="004B2762"/>
    <w:rsid w:val="004B2FA7"/>
    <w:rsid w:val="004B4025"/>
    <w:rsid w:val="004B64D7"/>
    <w:rsid w:val="004B6798"/>
    <w:rsid w:val="004C120D"/>
    <w:rsid w:val="004C1601"/>
    <w:rsid w:val="004C3099"/>
    <w:rsid w:val="004C3B4F"/>
    <w:rsid w:val="004C4EA0"/>
    <w:rsid w:val="004C64B8"/>
    <w:rsid w:val="004C7368"/>
    <w:rsid w:val="004C73F1"/>
    <w:rsid w:val="004C778A"/>
    <w:rsid w:val="004C7A6F"/>
    <w:rsid w:val="004C7B37"/>
    <w:rsid w:val="004D2A3A"/>
    <w:rsid w:val="004D3578"/>
    <w:rsid w:val="004D4338"/>
    <w:rsid w:val="004D546E"/>
    <w:rsid w:val="004D640B"/>
    <w:rsid w:val="004D640E"/>
    <w:rsid w:val="004E0F18"/>
    <w:rsid w:val="004E17C7"/>
    <w:rsid w:val="004E213A"/>
    <w:rsid w:val="004E2654"/>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49D9"/>
    <w:rsid w:val="00515717"/>
    <w:rsid w:val="0051617C"/>
    <w:rsid w:val="00521A4C"/>
    <w:rsid w:val="00526610"/>
    <w:rsid w:val="00527F8B"/>
    <w:rsid w:val="0053243A"/>
    <w:rsid w:val="00533780"/>
    <w:rsid w:val="0053388B"/>
    <w:rsid w:val="005345D1"/>
    <w:rsid w:val="00534653"/>
    <w:rsid w:val="00534986"/>
    <w:rsid w:val="00535773"/>
    <w:rsid w:val="0053790B"/>
    <w:rsid w:val="00537BFA"/>
    <w:rsid w:val="00540005"/>
    <w:rsid w:val="00543B5C"/>
    <w:rsid w:val="00543E6C"/>
    <w:rsid w:val="00551E8E"/>
    <w:rsid w:val="00553FE8"/>
    <w:rsid w:val="00554FE1"/>
    <w:rsid w:val="00555723"/>
    <w:rsid w:val="00556339"/>
    <w:rsid w:val="005571AD"/>
    <w:rsid w:val="00560943"/>
    <w:rsid w:val="00562F8F"/>
    <w:rsid w:val="00563512"/>
    <w:rsid w:val="005636C1"/>
    <w:rsid w:val="005641AF"/>
    <w:rsid w:val="00564A23"/>
    <w:rsid w:val="00565087"/>
    <w:rsid w:val="00566134"/>
    <w:rsid w:val="00570ED1"/>
    <w:rsid w:val="0057261C"/>
    <w:rsid w:val="00572E14"/>
    <w:rsid w:val="005742FD"/>
    <w:rsid w:val="005743C8"/>
    <w:rsid w:val="00574C84"/>
    <w:rsid w:val="005767C4"/>
    <w:rsid w:val="00580C3D"/>
    <w:rsid w:val="005837C8"/>
    <w:rsid w:val="005861FD"/>
    <w:rsid w:val="00587158"/>
    <w:rsid w:val="005909D3"/>
    <w:rsid w:val="00592B9E"/>
    <w:rsid w:val="00594CBD"/>
    <w:rsid w:val="0059615C"/>
    <w:rsid w:val="005966A3"/>
    <w:rsid w:val="00596EDD"/>
    <w:rsid w:val="005973BE"/>
    <w:rsid w:val="005A151E"/>
    <w:rsid w:val="005A3398"/>
    <w:rsid w:val="005A3590"/>
    <w:rsid w:val="005A3620"/>
    <w:rsid w:val="005A407F"/>
    <w:rsid w:val="005A4164"/>
    <w:rsid w:val="005A5986"/>
    <w:rsid w:val="005A5D1C"/>
    <w:rsid w:val="005A7F03"/>
    <w:rsid w:val="005B1FF6"/>
    <w:rsid w:val="005B2222"/>
    <w:rsid w:val="005B4F01"/>
    <w:rsid w:val="005B772C"/>
    <w:rsid w:val="005C0650"/>
    <w:rsid w:val="005C24B2"/>
    <w:rsid w:val="005C3CA9"/>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3BD9"/>
    <w:rsid w:val="005E5ADF"/>
    <w:rsid w:val="005E6173"/>
    <w:rsid w:val="005E69AE"/>
    <w:rsid w:val="005E7301"/>
    <w:rsid w:val="005E7E9A"/>
    <w:rsid w:val="005F024B"/>
    <w:rsid w:val="005F1C1B"/>
    <w:rsid w:val="005F3817"/>
    <w:rsid w:val="005F4E02"/>
    <w:rsid w:val="005F6F36"/>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4F57"/>
    <w:rsid w:val="0063543D"/>
    <w:rsid w:val="00641140"/>
    <w:rsid w:val="006418FD"/>
    <w:rsid w:val="00642CCD"/>
    <w:rsid w:val="006432CB"/>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7B76"/>
    <w:rsid w:val="00677BD4"/>
    <w:rsid w:val="00680420"/>
    <w:rsid w:val="00681446"/>
    <w:rsid w:val="00685600"/>
    <w:rsid w:val="00687139"/>
    <w:rsid w:val="00692E14"/>
    <w:rsid w:val="006974B3"/>
    <w:rsid w:val="006A12BB"/>
    <w:rsid w:val="006A17C7"/>
    <w:rsid w:val="006A1D88"/>
    <w:rsid w:val="006A2D0C"/>
    <w:rsid w:val="006A323F"/>
    <w:rsid w:val="006A53BF"/>
    <w:rsid w:val="006A5726"/>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5C86"/>
    <w:rsid w:val="006F12BA"/>
    <w:rsid w:val="006F1FC9"/>
    <w:rsid w:val="006F5C77"/>
    <w:rsid w:val="006F682D"/>
    <w:rsid w:val="006F6BC7"/>
    <w:rsid w:val="006F796C"/>
    <w:rsid w:val="006F7CE5"/>
    <w:rsid w:val="00701229"/>
    <w:rsid w:val="00702000"/>
    <w:rsid w:val="007023DC"/>
    <w:rsid w:val="0070498B"/>
    <w:rsid w:val="0070557F"/>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785A"/>
    <w:rsid w:val="007A0D0C"/>
    <w:rsid w:val="007A1134"/>
    <w:rsid w:val="007A299C"/>
    <w:rsid w:val="007A3268"/>
    <w:rsid w:val="007A33CD"/>
    <w:rsid w:val="007A491F"/>
    <w:rsid w:val="007A4C28"/>
    <w:rsid w:val="007A636A"/>
    <w:rsid w:val="007B083C"/>
    <w:rsid w:val="007B600E"/>
    <w:rsid w:val="007B6FD1"/>
    <w:rsid w:val="007C491A"/>
    <w:rsid w:val="007C4B30"/>
    <w:rsid w:val="007C5B26"/>
    <w:rsid w:val="007C692F"/>
    <w:rsid w:val="007C7952"/>
    <w:rsid w:val="007D069E"/>
    <w:rsid w:val="007D122C"/>
    <w:rsid w:val="007D2E3A"/>
    <w:rsid w:val="007D34C1"/>
    <w:rsid w:val="007D3B38"/>
    <w:rsid w:val="007D49C9"/>
    <w:rsid w:val="007D5D1F"/>
    <w:rsid w:val="007D6A07"/>
    <w:rsid w:val="007E0E48"/>
    <w:rsid w:val="007E1D0F"/>
    <w:rsid w:val="007E2A38"/>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6DE9"/>
    <w:rsid w:val="00820B25"/>
    <w:rsid w:val="00824F13"/>
    <w:rsid w:val="00825FDD"/>
    <w:rsid w:val="00826732"/>
    <w:rsid w:val="00826D83"/>
    <w:rsid w:val="0082718C"/>
    <w:rsid w:val="00830747"/>
    <w:rsid w:val="00830968"/>
    <w:rsid w:val="00831294"/>
    <w:rsid w:val="008344DE"/>
    <w:rsid w:val="0083542B"/>
    <w:rsid w:val="00837FDF"/>
    <w:rsid w:val="0084235D"/>
    <w:rsid w:val="00844578"/>
    <w:rsid w:val="0084481F"/>
    <w:rsid w:val="00850FBB"/>
    <w:rsid w:val="00851DE4"/>
    <w:rsid w:val="00855940"/>
    <w:rsid w:val="008569E2"/>
    <w:rsid w:val="0086119F"/>
    <w:rsid w:val="00862676"/>
    <w:rsid w:val="00862C44"/>
    <w:rsid w:val="00864223"/>
    <w:rsid w:val="00870369"/>
    <w:rsid w:val="00874CD0"/>
    <w:rsid w:val="00874EF7"/>
    <w:rsid w:val="008768CA"/>
    <w:rsid w:val="00877CF6"/>
    <w:rsid w:val="0088464B"/>
    <w:rsid w:val="008853FE"/>
    <w:rsid w:val="00887C97"/>
    <w:rsid w:val="008929FC"/>
    <w:rsid w:val="00893375"/>
    <w:rsid w:val="00895B90"/>
    <w:rsid w:val="008974F7"/>
    <w:rsid w:val="008A093A"/>
    <w:rsid w:val="008A2C63"/>
    <w:rsid w:val="008A4747"/>
    <w:rsid w:val="008A55D2"/>
    <w:rsid w:val="008A7F78"/>
    <w:rsid w:val="008B4142"/>
    <w:rsid w:val="008B5634"/>
    <w:rsid w:val="008C0511"/>
    <w:rsid w:val="008C06C2"/>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7986"/>
    <w:rsid w:val="008F194F"/>
    <w:rsid w:val="008F2044"/>
    <w:rsid w:val="008F5338"/>
    <w:rsid w:val="008F5928"/>
    <w:rsid w:val="008F65D3"/>
    <w:rsid w:val="00900A09"/>
    <w:rsid w:val="009020CF"/>
    <w:rsid w:val="0090271F"/>
    <w:rsid w:val="00902E23"/>
    <w:rsid w:val="00903EF6"/>
    <w:rsid w:val="00905B7B"/>
    <w:rsid w:val="009077CF"/>
    <w:rsid w:val="009114D7"/>
    <w:rsid w:val="0091348E"/>
    <w:rsid w:val="00913CDB"/>
    <w:rsid w:val="00916B79"/>
    <w:rsid w:val="009172EC"/>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646B"/>
    <w:rsid w:val="009A760C"/>
    <w:rsid w:val="009B1B30"/>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3F3C"/>
    <w:rsid w:val="009E56FA"/>
    <w:rsid w:val="009E6F2A"/>
    <w:rsid w:val="009E7750"/>
    <w:rsid w:val="009E7976"/>
    <w:rsid w:val="009F051B"/>
    <w:rsid w:val="009F1A90"/>
    <w:rsid w:val="009F1D6A"/>
    <w:rsid w:val="009F37B7"/>
    <w:rsid w:val="009F4AC4"/>
    <w:rsid w:val="009F5E43"/>
    <w:rsid w:val="00A0120D"/>
    <w:rsid w:val="00A064AC"/>
    <w:rsid w:val="00A10F02"/>
    <w:rsid w:val="00A14E73"/>
    <w:rsid w:val="00A15BD4"/>
    <w:rsid w:val="00A16315"/>
    <w:rsid w:val="00A16419"/>
    <w:rsid w:val="00A164B4"/>
    <w:rsid w:val="00A16B8F"/>
    <w:rsid w:val="00A17F57"/>
    <w:rsid w:val="00A200FA"/>
    <w:rsid w:val="00A2083A"/>
    <w:rsid w:val="00A20E11"/>
    <w:rsid w:val="00A21055"/>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5C"/>
    <w:rsid w:val="00AB0E32"/>
    <w:rsid w:val="00AB1B6E"/>
    <w:rsid w:val="00AB2D85"/>
    <w:rsid w:val="00AB4AD6"/>
    <w:rsid w:val="00AB4B65"/>
    <w:rsid w:val="00AB635B"/>
    <w:rsid w:val="00AB6DF1"/>
    <w:rsid w:val="00AC2D14"/>
    <w:rsid w:val="00AC558B"/>
    <w:rsid w:val="00AC6BC6"/>
    <w:rsid w:val="00AD0CF7"/>
    <w:rsid w:val="00AD108D"/>
    <w:rsid w:val="00AD2D63"/>
    <w:rsid w:val="00AD4E3B"/>
    <w:rsid w:val="00AD6423"/>
    <w:rsid w:val="00AE0F4F"/>
    <w:rsid w:val="00AE28C1"/>
    <w:rsid w:val="00AE3797"/>
    <w:rsid w:val="00AE4BB3"/>
    <w:rsid w:val="00AE5566"/>
    <w:rsid w:val="00AF0560"/>
    <w:rsid w:val="00AF0F28"/>
    <w:rsid w:val="00AF142E"/>
    <w:rsid w:val="00AF48A1"/>
    <w:rsid w:val="00AF4E68"/>
    <w:rsid w:val="00AF6F1D"/>
    <w:rsid w:val="00AF7049"/>
    <w:rsid w:val="00AF7255"/>
    <w:rsid w:val="00B00CC1"/>
    <w:rsid w:val="00B01D94"/>
    <w:rsid w:val="00B0219B"/>
    <w:rsid w:val="00B02BC6"/>
    <w:rsid w:val="00B02C90"/>
    <w:rsid w:val="00B036C2"/>
    <w:rsid w:val="00B036C5"/>
    <w:rsid w:val="00B04944"/>
    <w:rsid w:val="00B055D4"/>
    <w:rsid w:val="00B074B4"/>
    <w:rsid w:val="00B10484"/>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FC5"/>
    <w:rsid w:val="00B26425"/>
    <w:rsid w:val="00B309D9"/>
    <w:rsid w:val="00B312F2"/>
    <w:rsid w:val="00B31AF8"/>
    <w:rsid w:val="00B3313E"/>
    <w:rsid w:val="00B337D5"/>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697E"/>
    <w:rsid w:val="00B6778E"/>
    <w:rsid w:val="00B704C9"/>
    <w:rsid w:val="00B71F49"/>
    <w:rsid w:val="00B724A5"/>
    <w:rsid w:val="00B74C05"/>
    <w:rsid w:val="00B753CC"/>
    <w:rsid w:val="00B765C8"/>
    <w:rsid w:val="00B7793A"/>
    <w:rsid w:val="00B80452"/>
    <w:rsid w:val="00B807EB"/>
    <w:rsid w:val="00B82DFD"/>
    <w:rsid w:val="00B84DD2"/>
    <w:rsid w:val="00B85B33"/>
    <w:rsid w:val="00B907BC"/>
    <w:rsid w:val="00B9159B"/>
    <w:rsid w:val="00B92889"/>
    <w:rsid w:val="00B92E6B"/>
    <w:rsid w:val="00B93086"/>
    <w:rsid w:val="00B94827"/>
    <w:rsid w:val="00B97442"/>
    <w:rsid w:val="00BA0942"/>
    <w:rsid w:val="00BA19ED"/>
    <w:rsid w:val="00BA1CFF"/>
    <w:rsid w:val="00BA300B"/>
    <w:rsid w:val="00BA4B8D"/>
    <w:rsid w:val="00BA4F78"/>
    <w:rsid w:val="00BA705F"/>
    <w:rsid w:val="00BB090E"/>
    <w:rsid w:val="00BB0CC4"/>
    <w:rsid w:val="00BB1A37"/>
    <w:rsid w:val="00BB22A8"/>
    <w:rsid w:val="00BB306C"/>
    <w:rsid w:val="00BB3B7A"/>
    <w:rsid w:val="00BB4783"/>
    <w:rsid w:val="00BC0186"/>
    <w:rsid w:val="00BC0F7D"/>
    <w:rsid w:val="00BC111F"/>
    <w:rsid w:val="00BC1C56"/>
    <w:rsid w:val="00BC1D8D"/>
    <w:rsid w:val="00BC22E8"/>
    <w:rsid w:val="00BC371B"/>
    <w:rsid w:val="00BC4564"/>
    <w:rsid w:val="00BC4B89"/>
    <w:rsid w:val="00BC567A"/>
    <w:rsid w:val="00BC5C19"/>
    <w:rsid w:val="00BC7B0D"/>
    <w:rsid w:val="00BD0B2C"/>
    <w:rsid w:val="00BD19D1"/>
    <w:rsid w:val="00BD1D84"/>
    <w:rsid w:val="00BD69CB"/>
    <w:rsid w:val="00BD760D"/>
    <w:rsid w:val="00BD7CA8"/>
    <w:rsid w:val="00BE1F22"/>
    <w:rsid w:val="00BE3255"/>
    <w:rsid w:val="00BE60A9"/>
    <w:rsid w:val="00BE61F0"/>
    <w:rsid w:val="00BE6B90"/>
    <w:rsid w:val="00BF07F2"/>
    <w:rsid w:val="00BF128E"/>
    <w:rsid w:val="00BF16AD"/>
    <w:rsid w:val="00BF3AB1"/>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5F1C"/>
    <w:rsid w:val="00C176BE"/>
    <w:rsid w:val="00C22FD9"/>
    <w:rsid w:val="00C26B20"/>
    <w:rsid w:val="00C33079"/>
    <w:rsid w:val="00C34F44"/>
    <w:rsid w:val="00C353F5"/>
    <w:rsid w:val="00C40F21"/>
    <w:rsid w:val="00C41ADB"/>
    <w:rsid w:val="00C4323D"/>
    <w:rsid w:val="00C43DCD"/>
    <w:rsid w:val="00C45231"/>
    <w:rsid w:val="00C4537F"/>
    <w:rsid w:val="00C45F09"/>
    <w:rsid w:val="00C4608A"/>
    <w:rsid w:val="00C4680F"/>
    <w:rsid w:val="00C4696B"/>
    <w:rsid w:val="00C51808"/>
    <w:rsid w:val="00C524FD"/>
    <w:rsid w:val="00C60E0A"/>
    <w:rsid w:val="00C61D1C"/>
    <w:rsid w:val="00C62D92"/>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75FE"/>
    <w:rsid w:val="00C912C4"/>
    <w:rsid w:val="00C93BFD"/>
    <w:rsid w:val="00C93F40"/>
    <w:rsid w:val="00C9406B"/>
    <w:rsid w:val="00C96D45"/>
    <w:rsid w:val="00C977EB"/>
    <w:rsid w:val="00CA3D0C"/>
    <w:rsid w:val="00CA7AC2"/>
    <w:rsid w:val="00CB0015"/>
    <w:rsid w:val="00CB1C9F"/>
    <w:rsid w:val="00CB285D"/>
    <w:rsid w:val="00CB3795"/>
    <w:rsid w:val="00CB3AB8"/>
    <w:rsid w:val="00CB5386"/>
    <w:rsid w:val="00CB5F29"/>
    <w:rsid w:val="00CC270F"/>
    <w:rsid w:val="00CC3848"/>
    <w:rsid w:val="00CC3DB4"/>
    <w:rsid w:val="00CC4A57"/>
    <w:rsid w:val="00CD07C6"/>
    <w:rsid w:val="00CD647F"/>
    <w:rsid w:val="00CD7151"/>
    <w:rsid w:val="00CD78CC"/>
    <w:rsid w:val="00CE029B"/>
    <w:rsid w:val="00CE1D83"/>
    <w:rsid w:val="00CE3059"/>
    <w:rsid w:val="00CE60D8"/>
    <w:rsid w:val="00CE7214"/>
    <w:rsid w:val="00CF20E3"/>
    <w:rsid w:val="00CF244A"/>
    <w:rsid w:val="00CF2F3C"/>
    <w:rsid w:val="00CF4411"/>
    <w:rsid w:val="00CF5290"/>
    <w:rsid w:val="00CF7C3F"/>
    <w:rsid w:val="00D017AE"/>
    <w:rsid w:val="00D019E3"/>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2A1A"/>
    <w:rsid w:val="00D453CD"/>
    <w:rsid w:val="00D45E83"/>
    <w:rsid w:val="00D46060"/>
    <w:rsid w:val="00D463FE"/>
    <w:rsid w:val="00D46431"/>
    <w:rsid w:val="00D468B9"/>
    <w:rsid w:val="00D46EDF"/>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6EB"/>
    <w:rsid w:val="00D92C20"/>
    <w:rsid w:val="00D93120"/>
    <w:rsid w:val="00D93AF6"/>
    <w:rsid w:val="00D947CD"/>
    <w:rsid w:val="00D96048"/>
    <w:rsid w:val="00D97D53"/>
    <w:rsid w:val="00DA0548"/>
    <w:rsid w:val="00DA116B"/>
    <w:rsid w:val="00DA76F2"/>
    <w:rsid w:val="00DA7A03"/>
    <w:rsid w:val="00DB12EC"/>
    <w:rsid w:val="00DB1818"/>
    <w:rsid w:val="00DB434C"/>
    <w:rsid w:val="00DB50F8"/>
    <w:rsid w:val="00DB675B"/>
    <w:rsid w:val="00DC0E51"/>
    <w:rsid w:val="00DC156C"/>
    <w:rsid w:val="00DC1E1A"/>
    <w:rsid w:val="00DC309B"/>
    <w:rsid w:val="00DC382F"/>
    <w:rsid w:val="00DC4DA2"/>
    <w:rsid w:val="00DC53FE"/>
    <w:rsid w:val="00DC65CC"/>
    <w:rsid w:val="00DC6616"/>
    <w:rsid w:val="00DD4C17"/>
    <w:rsid w:val="00DD5B05"/>
    <w:rsid w:val="00DD5D25"/>
    <w:rsid w:val="00DD65DC"/>
    <w:rsid w:val="00DD7FF2"/>
    <w:rsid w:val="00DE15B7"/>
    <w:rsid w:val="00DE5CB6"/>
    <w:rsid w:val="00DE6E17"/>
    <w:rsid w:val="00DF0D85"/>
    <w:rsid w:val="00DF146D"/>
    <w:rsid w:val="00DF2B1F"/>
    <w:rsid w:val="00DF6189"/>
    <w:rsid w:val="00DF62CD"/>
    <w:rsid w:val="00DF733D"/>
    <w:rsid w:val="00E000D6"/>
    <w:rsid w:val="00E022DB"/>
    <w:rsid w:val="00E033B1"/>
    <w:rsid w:val="00E034CF"/>
    <w:rsid w:val="00E03895"/>
    <w:rsid w:val="00E057D0"/>
    <w:rsid w:val="00E05DC0"/>
    <w:rsid w:val="00E06ECF"/>
    <w:rsid w:val="00E11770"/>
    <w:rsid w:val="00E11D1A"/>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15D1"/>
    <w:rsid w:val="00E31A28"/>
    <w:rsid w:val="00E32473"/>
    <w:rsid w:val="00E341F7"/>
    <w:rsid w:val="00E34C44"/>
    <w:rsid w:val="00E35166"/>
    <w:rsid w:val="00E3557D"/>
    <w:rsid w:val="00E4054F"/>
    <w:rsid w:val="00E43CAD"/>
    <w:rsid w:val="00E43D1A"/>
    <w:rsid w:val="00E44582"/>
    <w:rsid w:val="00E446E0"/>
    <w:rsid w:val="00E451CB"/>
    <w:rsid w:val="00E45CA3"/>
    <w:rsid w:val="00E507ED"/>
    <w:rsid w:val="00E518AF"/>
    <w:rsid w:val="00E51DBC"/>
    <w:rsid w:val="00E51F83"/>
    <w:rsid w:val="00E5209E"/>
    <w:rsid w:val="00E52814"/>
    <w:rsid w:val="00E53182"/>
    <w:rsid w:val="00E542BC"/>
    <w:rsid w:val="00E5541B"/>
    <w:rsid w:val="00E576C9"/>
    <w:rsid w:val="00E6138C"/>
    <w:rsid w:val="00E617AF"/>
    <w:rsid w:val="00E61B6D"/>
    <w:rsid w:val="00E62991"/>
    <w:rsid w:val="00E63BEB"/>
    <w:rsid w:val="00E6571D"/>
    <w:rsid w:val="00E65AAE"/>
    <w:rsid w:val="00E67970"/>
    <w:rsid w:val="00E7095F"/>
    <w:rsid w:val="00E70E92"/>
    <w:rsid w:val="00E72324"/>
    <w:rsid w:val="00E72ABE"/>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1077"/>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73DF"/>
    <w:rsid w:val="00EE06A9"/>
    <w:rsid w:val="00EE184F"/>
    <w:rsid w:val="00EE5AA7"/>
    <w:rsid w:val="00EF2DF8"/>
    <w:rsid w:val="00EF3C8A"/>
    <w:rsid w:val="00EF587C"/>
    <w:rsid w:val="00EF6FF0"/>
    <w:rsid w:val="00EF7084"/>
    <w:rsid w:val="00F00995"/>
    <w:rsid w:val="00F015A4"/>
    <w:rsid w:val="00F01D86"/>
    <w:rsid w:val="00F025A2"/>
    <w:rsid w:val="00F04712"/>
    <w:rsid w:val="00F05221"/>
    <w:rsid w:val="00F0625F"/>
    <w:rsid w:val="00F06786"/>
    <w:rsid w:val="00F07EDC"/>
    <w:rsid w:val="00F100F2"/>
    <w:rsid w:val="00F129F5"/>
    <w:rsid w:val="00F139D9"/>
    <w:rsid w:val="00F14795"/>
    <w:rsid w:val="00F16143"/>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3C98"/>
    <w:rsid w:val="00F44AA2"/>
    <w:rsid w:val="00F44D05"/>
    <w:rsid w:val="00F45ED8"/>
    <w:rsid w:val="00F46279"/>
    <w:rsid w:val="00F50255"/>
    <w:rsid w:val="00F50A64"/>
    <w:rsid w:val="00F51BD3"/>
    <w:rsid w:val="00F52511"/>
    <w:rsid w:val="00F52B70"/>
    <w:rsid w:val="00F52C27"/>
    <w:rsid w:val="00F533B4"/>
    <w:rsid w:val="00F53958"/>
    <w:rsid w:val="00F53A99"/>
    <w:rsid w:val="00F5402A"/>
    <w:rsid w:val="00F55754"/>
    <w:rsid w:val="00F614AC"/>
    <w:rsid w:val="00F62AEB"/>
    <w:rsid w:val="00F6358D"/>
    <w:rsid w:val="00F63CA6"/>
    <w:rsid w:val="00F64319"/>
    <w:rsid w:val="00F653B8"/>
    <w:rsid w:val="00F655F3"/>
    <w:rsid w:val="00F65781"/>
    <w:rsid w:val="00F67E8B"/>
    <w:rsid w:val="00F67EE8"/>
    <w:rsid w:val="00F70647"/>
    <w:rsid w:val="00F7204E"/>
    <w:rsid w:val="00F7302D"/>
    <w:rsid w:val="00F73852"/>
    <w:rsid w:val="00F73D52"/>
    <w:rsid w:val="00F73F71"/>
    <w:rsid w:val="00F74DDC"/>
    <w:rsid w:val="00F81946"/>
    <w:rsid w:val="00F81A27"/>
    <w:rsid w:val="00F8214F"/>
    <w:rsid w:val="00F83432"/>
    <w:rsid w:val="00F8688A"/>
    <w:rsid w:val="00F87A6E"/>
    <w:rsid w:val="00F90B33"/>
    <w:rsid w:val="00F90B8B"/>
    <w:rsid w:val="00F9227A"/>
    <w:rsid w:val="00F92A6F"/>
    <w:rsid w:val="00F9377C"/>
    <w:rsid w:val="00F950C3"/>
    <w:rsid w:val="00F95688"/>
    <w:rsid w:val="00F95EDB"/>
    <w:rsid w:val="00F96804"/>
    <w:rsid w:val="00F96B75"/>
    <w:rsid w:val="00F96BAB"/>
    <w:rsid w:val="00F97163"/>
    <w:rsid w:val="00F97D2F"/>
    <w:rsid w:val="00FA0DFF"/>
    <w:rsid w:val="00FA1266"/>
    <w:rsid w:val="00FA46B2"/>
    <w:rsid w:val="00FA7625"/>
    <w:rsid w:val="00FA77A1"/>
    <w:rsid w:val="00FA7B19"/>
    <w:rsid w:val="00FB03C5"/>
    <w:rsid w:val="00FB52FC"/>
    <w:rsid w:val="00FB7AD7"/>
    <w:rsid w:val="00FC02A4"/>
    <w:rsid w:val="00FC1192"/>
    <w:rsid w:val="00FC133C"/>
    <w:rsid w:val="00FC259F"/>
    <w:rsid w:val="00FC33B0"/>
    <w:rsid w:val="00FC424A"/>
    <w:rsid w:val="00FC4DA7"/>
    <w:rsid w:val="00FC7900"/>
    <w:rsid w:val="00FD315A"/>
    <w:rsid w:val="00FD356E"/>
    <w:rsid w:val="00FD53F3"/>
    <w:rsid w:val="00FD6FA7"/>
    <w:rsid w:val="00FD72D1"/>
    <w:rsid w:val="00FE2D04"/>
    <w:rsid w:val="00FE318F"/>
    <w:rsid w:val="00FE3EF3"/>
    <w:rsid w:val="00FE4CDB"/>
    <w:rsid w:val="00FE63B0"/>
    <w:rsid w:val="00FE6A46"/>
    <w:rsid w:val="00FE746F"/>
    <w:rsid w:val="00FE7771"/>
    <w:rsid w:val="00FE7DC3"/>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6697</TotalTime>
  <Pages>3</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1091</cp:revision>
  <cp:lastPrinted>2019-02-25T14:05:00Z</cp:lastPrinted>
  <dcterms:created xsi:type="dcterms:W3CDTF">2020-02-11T14:49:00Z</dcterms:created>
  <dcterms:modified xsi:type="dcterms:W3CDTF">2024-10-07T14:41:00Z</dcterms:modified>
  <cp:category/>
</cp:coreProperties>
</file>